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w:t>
      </w:r>
      <w:sdt>
        <w:sdtPr>
          <w:alias w:val="2"/>
          <w15:appearance w15:val="hidden"/>
          <w:id w:val="2"/>
          <w:lock w:val="sdtContentLocked"/>
          <w:tag w:val="项目名称"/>
          <w:rPr>
            <w:rFonts w:ascii="Arial" w:hAnsi="宋体"/>
            <w:sz w:val="24"/>
            <w:szCs w:val="24"/>
          </w:rPr>
        </w:sdtPr>
        <w:sdtContent>
          <w:r>
            <w:rPr>
              <w:rFonts w:hint="default" w:ascii="经典仿宋简" w:hAnsi="经典仿宋简" w:eastAsia="经典仿宋简" w:cs="经典仿宋简"/>
              <w:sz w:val="22"/>
            </w:rPr>
            <w:t xml:space="preserve">响水县民政局2025年度居家和社区基本养老服务提升行动项目</w:t>
          </w:r>
        </w:sdtContent>
      </w:sdt>
      <w:r/>
      <w:r/>
    </w:p>
    <w:p>
      <w:pPr>
        <w:ind w:firstLine="2249"/>
        <w:jc w:val="left"/>
        <w:spacing w:before="120" w:after="120" w:line="360" w:lineRule="auto"/>
        <w:rPr>
          <w:rFonts w:ascii="Arial" w:hAnsi="Arial"/>
          <w:b/>
          <w:bCs/>
          <w:color w:val="000000" w:themeColor="text1"/>
          <w:sz w:val="32"/>
          <w:szCs w:val="24"/>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 xml:space="preserve">项目编号：</w:t>
      </w:r>
      <w:sdt>
        <w:sdtPr>
          <w:alias w:val="1"/>
          <w15:appearance w15:val="hidden"/>
          <w:id w:val="1"/>
          <w:lock w:val="sdtContentLocked"/>
          <w:tag w:val="项目编号"/>
          <w:rPr>
            <w:rFonts w:hint="eastAsia" w:ascii="Arial" w:hAnsi="Arial"/>
            <w:b/>
            <w:bCs/>
            <w:color w:val="000000" w:themeColor="text1"/>
            <w:sz w:val="32"/>
            <w:szCs w:val="24"/>
            <w14:textFill>
              <w14:solidFill>
                <w14:schemeClr w14:val="tx1"/>
              </w14:solidFill>
            </w14:textFill>
          </w:rPr>
        </w:sdtPr>
        <w:sdtContent>
          <w:r>
            <w:rPr>
              <w:rFonts w:hint="default" w:ascii="经典仿宋简" w:hAnsi="经典仿宋简" w:eastAsia="经典仿宋简" w:cs="经典仿宋简"/>
              <w:sz w:val="22"/>
            </w:rPr>
            <w:t xml:space="preserve">JSZC-320921-YCRZ-C2025-0011</w:t>
          </w:r>
        </w:sdtContent>
      </w:sdt>
      <w:r/>
      <w:r/>
    </w:p>
    <w:p>
      <w:pPr>
        <w:ind w:firstLine="2249"/>
        <w:jc w:val="left"/>
        <w:spacing w:before="120" w:after="120" w:line="360" w:lineRule="auto"/>
        <w:rPr>
          <w:rFonts w:hint="eastAsia" w:ascii="Times New Roman" w:hAnsi="Times New Roman"/>
          <w:b/>
          <w:sz w:val="30"/>
          <w:szCs w:val="30"/>
        </w:rPr>
      </w:pPr>
      <w:r>
        <w:rPr>
          <w:rFonts w:hint="eastAsia" w:ascii="Times New Roman" w:hAnsi="Times New Roman"/>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采购单位：响水县民政局</w:t>
      </w:r>
      <w:r/>
    </w:p>
    <w:p>
      <w:pPr>
        <w:jc w:val="center"/>
        <w:spacing w:before="120" w:after="120" w:line="360" w:lineRule="auto"/>
        <w:rPr>
          <w:rFonts w:ascii="Arial" w:hAnsi="Arial"/>
          <w:b/>
          <w:bCs/>
          <w:sz w:val="32"/>
          <w:szCs w:val="24"/>
        </w:rPr>
      </w:pPr>
      <w:r>
        <w:rPr>
          <w:rFonts w:hint="eastAsia" w:ascii="Arial" w:hAnsi="Arial"/>
          <w:b/>
          <w:bCs/>
          <w:sz w:val="32"/>
          <w:szCs w:val="24"/>
        </w:rPr>
        <w:t xml:space="preserve">代理机构：盐城市瑞泽工程管理服务有限公司</w:t>
      </w:r>
      <w:r/>
    </w:p>
    <w:p>
      <w:pPr>
        <w:jc w:val="center"/>
        <w:spacing w:before="120" w:after="120" w:line="360" w:lineRule="auto"/>
        <w:rPr>
          <w:rFonts w:hint="default" w:ascii="Arial" w:hAnsi="Arial"/>
          <w:b/>
          <w:bCs/>
          <w:sz w:val="32"/>
          <w:szCs w:val="24"/>
          <w:lang w:val="en-US"/>
        </w:rPr>
      </w:pPr>
      <w:r>
        <w:rPr>
          <w:rFonts w:ascii="Arial" w:hAnsi="Arial"/>
          <w:b/>
          <w:bCs/>
          <w:sz w:val="32"/>
          <w:szCs w:val="24"/>
        </w:rPr>
        <w:t xml:space="preserve">202</w:t>
      </w:r>
      <w:r>
        <w:rPr>
          <w:rFonts w:hint="eastAsia" w:ascii="Arial" w:hAnsi="Arial"/>
          <w:b/>
          <w:bCs/>
          <w:sz w:val="32"/>
          <w:szCs w:val="24"/>
          <w:lang w:val="en-US" w:eastAsia="zh-CN"/>
        </w:rPr>
        <w:t xml:space="preserve">5</w:t>
      </w:r>
      <w:r>
        <w:rPr>
          <w:rFonts w:hint="eastAsia" w:ascii="Arial" w:hAnsi="Arial"/>
          <w:b/>
          <w:bCs/>
          <w:sz w:val="32"/>
          <w:szCs w:val="24"/>
        </w:rPr>
        <w:t xml:space="preserve">年</w:t>
      </w:r>
      <w:r>
        <w:rPr>
          <w:rFonts w:hint="eastAsia" w:ascii="Arial" w:hAnsi="Arial"/>
          <w:b/>
          <w:bCs/>
          <w:sz w:val="32"/>
          <w:szCs w:val="24"/>
          <w:lang w:val="en-US" w:eastAsia="zh-CN"/>
        </w:rPr>
        <w:t xml:space="preserve">12</w:t>
      </w:r>
      <w:r>
        <w:rPr>
          <w:rFonts w:hint="eastAsia" w:ascii="Arial" w:hAnsi="Arial"/>
          <w:b/>
          <w:bCs/>
          <w:sz w:val="32"/>
          <w:szCs w:val="24"/>
        </w:rPr>
        <w:t xml:space="preserve">月</w:t>
      </w:r>
      <w:r>
        <w:rPr>
          <w:rFonts w:hint="eastAsia" w:ascii="Arial" w:hAnsi="Arial"/>
          <w:b/>
          <w:bCs/>
          <w:sz w:val="32"/>
          <w:szCs w:val="24"/>
          <w:lang w:val="en-US" w:eastAsia="zh-CN"/>
        </w:rPr>
        <w:t xml:space="preserve">2日</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23127445"/>
      <w:r/>
      <w:bookmarkStart w:id="2" w:name="_Toc16938516"/>
      <w:r/>
      <w:bookmarkStart w:id="3" w:name="_Toc513029200"/>
      <w:r/>
      <w:bookmarkStart w:id="4" w:name="_Toc20823272"/>
      <w:r/>
      <w:bookmarkStart w:id="5" w:name="_Toc479757206"/>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p>
    <w:p>
      <w:pPr>
        <w:ind w:firstLine="480"/>
        <w:rPr>
          <w:rFonts w:ascii="宋体" w:hAnsi="宋体"/>
          <w:sz w:val="24"/>
          <w:szCs w:val="24"/>
        </w:rPr>
      </w:pPr>
      <w:r>
        <w:rPr>
          <w:rFonts w:hint="eastAsia" w:ascii="宋体" w:hAnsi="宋体"/>
          <w:sz w:val="24"/>
          <w:szCs w:val="24"/>
        </w:rPr>
        <w:t xml:space="preserve">受[</w:t>
      </w:r>
      <w:sdt>
        <w:sdtPr>
          <w:alias w:val="5"/>
          <w15:appearance w15:val="hidden"/>
          <w:id w:val="5"/>
          <w:lock w:val="sdtContentLocked"/>
          <w:tag w:val="采购单位名称"/>
          <w:rPr>
            <w:rFonts w:hint="eastAsia" w:ascii="宋体" w:hAnsi="宋体"/>
            <w:sz w:val="24"/>
            <w:szCs w:val="24"/>
          </w:rPr>
        </w:sdtPr>
        <w:sdtContent>
          <w:r>
            <w:rPr>
              <w:rFonts w:hint="default" w:ascii="经典仿宋简" w:hAnsi="经典仿宋简" w:eastAsia="经典仿宋简" w:cs="经典仿宋简"/>
              <w:sz w:val="22"/>
            </w:rPr>
            <w:t xml:space="preserve">响水县民政局（机关）</w:t>
          </w:r>
        </w:sdtContent>
      </w:sdt>
      <w:r>
        <w:rPr>
          <w:rFonts w:hint="eastAsia" w:ascii="宋体" w:hAnsi="宋体"/>
          <w:sz w:val="24"/>
          <w:szCs w:val="24"/>
        </w:rPr>
        <w:t xml:space="preserve">]的委托，江苏省政府采购中心就[</w:t>
      </w:r>
      <w:sdt>
        <w:sdtPr>
          <w:alias w:val="7"/>
          <w15:appearance w15:val="hidden"/>
          <w:id w:val="7"/>
          <w:lock w:val="sdtContentLocked"/>
          <w:tag w:val="项目名称"/>
          <w:rPr>
            <w:rFonts w:hint="eastAsia" w:ascii="宋体" w:hAnsi="宋体"/>
            <w:sz w:val="24"/>
            <w:szCs w:val="24"/>
          </w:rPr>
        </w:sdtPr>
        <w:sdtContent>
          <w:r>
            <w:rPr>
              <w:rFonts w:hint="default" w:ascii="经典仿宋简" w:hAnsi="经典仿宋简" w:eastAsia="经典仿宋简" w:cs="经典仿宋简"/>
              <w:sz w:val="22"/>
            </w:rPr>
            <w:t xml:space="preserve">响水县民政局2025年度居家和社区基本养老服务提升行动项目</w:t>
          </w:r>
        </w:sdtContent>
      </w:sdt>
      <w:r>
        <w:rPr>
          <w:rFonts w:hint="eastAsia" w:ascii="宋体" w:hAnsi="宋体"/>
          <w:sz w:val="24"/>
          <w:szCs w:val="24"/>
        </w:rPr>
        <w:t xml:space="preserve">]([</w:t>
      </w:r>
      <w:sdt>
        <w:sdtPr>
          <w:alias w:val="8"/>
          <w15:appearance w15:val="hidden"/>
          <w:id w:val="8"/>
          <w:lock w:val="sdtContentLocked"/>
          <w:tag w:val="项目编号"/>
          <w:rPr>
            <w:rFonts w:hint="eastAsia" w:ascii="宋体" w:hAnsi="宋体"/>
            <w:sz w:val="24"/>
            <w:szCs w:val="24"/>
          </w:rPr>
        </w:sdtPr>
        <w:sdtContent>
          <w:r>
            <w:rPr>
              <w:rFonts w:hint="default" w:ascii="经典仿宋简" w:hAnsi="经典仿宋简" w:eastAsia="经典仿宋简" w:cs="经典仿宋简"/>
              <w:sz w:val="22"/>
            </w:rPr>
            <w:t xml:space="preserve">JSZC-320921-YCRZ-C2025-0011</w:t>
          </w:r>
        </w:sdtContent>
      </w:sdt>
      <w:r>
        <w:rPr>
          <w:rFonts w:hint="eastAsia" w:ascii="宋体" w:hAnsi="宋体"/>
          <w:sz w:val="24"/>
          <w:szCs w:val="24"/>
        </w:rPr>
        <w:t xml:space="preserve">])项目进行竞争性磋商采购，欢迎符合条件的供应商参加磋商。</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sdt>
        <w:sdtPr>
          <w:alias w:val="3"/>
          <w15:appearance w15:val="hidden"/>
          <w:id w:val="3"/>
          <w:lock w:val="sdtContentLocked"/>
          <w:tag w:val="项目名称"/>
          <w:rPr>
            <w:rFonts w:hint="eastAsia" w:ascii="宋体" w:hAnsi="宋体"/>
            <w:sz w:val="24"/>
            <w:szCs w:val="24"/>
            <w:u w:val="single"/>
          </w:rPr>
        </w:sdtPr>
        <w:sdtContent>
          <w:r>
            <w:rPr>
              <w:rFonts w:hint="default" w:ascii="经典仿宋简" w:hAnsi="经典仿宋简" w:eastAsia="经典仿宋简" w:cs="经典仿宋简"/>
              <w:sz w:val="22"/>
            </w:rPr>
            <w:t xml:space="preserve">响水县民政局2025年度居家和社区基本养老服务提升行动项目</w:t>
          </w:r>
        </w:sdtContent>
      </w:sdt>
      <w:r>
        <w:rPr>
          <w:rFonts w:ascii="宋体" w:hAnsi="宋体"/>
          <w:sz w:val="24"/>
          <w:szCs w:val="24"/>
          <w:u w:val="single"/>
        </w:rPr>
        <w:t xml:space="preserve">)</w:t>
      </w:r>
      <w:r>
        <w:rPr>
          <w:rFonts w:hint="eastAsia" w:ascii="宋体" w:hAnsi="宋体"/>
          <w:sz w:val="24"/>
          <w:szCs w:val="24"/>
        </w:rPr>
        <w:t xml:space="preserve">竞争性磋商项目的潜在供应商可在</w:t>
      </w:r>
      <w:r>
        <w:rPr>
          <w:rFonts w:hint="eastAsia" w:ascii="宋体" w:hAnsi="宋体"/>
          <w:sz w:val="24"/>
          <w:szCs w:val="24"/>
          <w:u w:val="single"/>
        </w:rPr>
        <w:t xml:space="preserve">“中国政府采购网、江苏政府采购网、盐城市政府采购网”自行免费下载</w:t>
      </w:r>
      <w:r>
        <w:rPr>
          <w:rFonts w:hint="eastAsia" w:ascii="宋体" w:hAnsi="宋体"/>
          <w:sz w:val="24"/>
          <w:szCs w:val="24"/>
        </w:rPr>
        <w:t xml:space="preserve">磋商文件，并于</w:t>
      </w:r>
      <w:sdt>
        <w:sdtPr>
          <w:alias w:val="9"/>
          <w15:appearance w15:val="hidden"/>
          <w:id w:val="9"/>
          <w:lock w:val="sdtContentLocked"/>
          <w:tag w:val="投标文件接收截止时间"/>
          <w:rPr>
            <w:rFonts w:hint="eastAsia" w:ascii="宋体" w:hAnsi="宋体"/>
            <w:sz w:val="24"/>
            <w:szCs w:val="24"/>
          </w:rPr>
        </w:sdtPr>
        <w:sdtContent>
          <w:r>
            <w:t xml:space="preserve">投标文件接收截止时间</w:t>
          </w:r>
        </w:sdtContent>
      </w:sdt>
      <w:r>
        <w:rPr>
          <w:rFonts w:ascii="宋体" w:hAnsi="宋体"/>
          <w:sz w:val="24"/>
          <w:szCs w:val="24"/>
          <w:u w:val="single"/>
        </w:rPr>
        <w:t xml:space="preserve">202</w:t>
      </w:r>
      <w:r>
        <w:rPr>
          <w:rFonts w:hint="eastAsia" w:ascii="宋体" w:hAnsi="宋体"/>
          <w:sz w:val="24"/>
          <w:szCs w:val="24"/>
          <w:u w:val="single"/>
          <w:lang w:val="en-US" w:eastAsia="zh-CN"/>
        </w:rPr>
        <w:t xml:space="preserve">5</w:t>
      </w:r>
      <w:r>
        <w:rPr>
          <w:rFonts w:hint="eastAsia" w:ascii="宋体" w:hAnsi="宋体"/>
          <w:sz w:val="24"/>
          <w:szCs w:val="24"/>
          <w:u w:val="single"/>
        </w:rPr>
        <w:t xml:space="preserve">年</w:t>
      </w:r>
      <w:r>
        <w:rPr>
          <w:rFonts w:hint="eastAsia" w:ascii="宋体" w:hAnsi="宋体"/>
          <w:sz w:val="24"/>
          <w:szCs w:val="24"/>
          <w:u w:val="single"/>
          <w:lang w:val="en-US" w:eastAsia="zh-CN"/>
        </w:rPr>
        <w:t xml:space="preserve">12</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19</w:t>
      </w:r>
      <w:r>
        <w:rPr>
          <w:rFonts w:hint="eastAsia" w:ascii="宋体" w:hAnsi="宋体"/>
          <w:sz w:val="24"/>
          <w:szCs w:val="24"/>
          <w:u w:val="single"/>
        </w:rPr>
        <w:t xml:space="preserve">日9</w:t>
      </w:r>
      <w:r>
        <w:rPr>
          <w:rFonts w:hint="eastAsia" w:ascii="宋体" w:hAnsi="宋体"/>
          <w:sz w:val="24"/>
          <w:szCs w:val="24"/>
          <w:u w:val="single"/>
        </w:rPr>
        <w:t xml:space="preserve">点0</w:t>
      </w:r>
      <w:r>
        <w:rPr>
          <w:rFonts w:ascii="宋体" w:hAnsi="宋体"/>
          <w:sz w:val="24"/>
          <w:szCs w:val="24"/>
          <w:u w:val="single"/>
        </w:rPr>
        <w:t xml:space="preserve">0</w:t>
      </w:r>
      <w:r>
        <w:rPr>
          <w:rFonts w:hint="eastAsia" w:ascii="宋体" w:hAnsi="宋体"/>
          <w:sz w:val="24"/>
          <w:szCs w:val="24"/>
          <w:u w:val="single"/>
        </w:rPr>
        <w:t xml:space="preserve">分</w:t>
      </w:r>
      <w:r>
        <w:rPr>
          <w:rFonts w:hint="eastAsia" w:ascii="宋体" w:hAnsi="宋体"/>
          <w:sz w:val="24"/>
          <w:szCs w:val="24"/>
          <w:u w:val="single"/>
          <w:lang w:eastAsia="zh-CN"/>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45" w:after="145" w:line="360" w:lineRule="auto"/>
        <w:rPr>
          <w:rFonts w:ascii="Times New Roman" w:hAnsi="Times New Roman"/>
          <w:b/>
          <w:bCs/>
          <w:sz w:val="32"/>
          <w:szCs w:val="32"/>
        </w:rPr>
        <w:outlineLvl w:val="2"/>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w:t>
      </w:r>
      <w:sdt>
        <w:sdtPr>
          <w:alias w:val="10"/>
          <w15:appearance w15:val="hidden"/>
          <w:id w:val="10"/>
          <w:lock w:val="sdtContentLocked"/>
          <w:tag w:val="项目编号"/>
          <w:rPr>
            <w:rFonts w:hint="eastAsia" w:ascii="宋体" w:hAnsi="宋体"/>
            <w:sz w:val="24"/>
            <w:szCs w:val="24"/>
          </w:rPr>
        </w:sdtPr>
        <w:sdtContent>
          <w:r>
            <w:rPr>
              <w:rFonts w:hint="default" w:ascii="经典仿宋简" w:hAnsi="经典仿宋简" w:eastAsia="经典仿宋简" w:cs="经典仿宋简"/>
              <w:sz w:val="22"/>
            </w:rPr>
            <w:t xml:space="preserve">JSZC-320921-YCRZ-C2025-0011</w:t>
          </w:r>
        </w:sdtContent>
      </w:sdt>
      <w:r/>
      <w:r/>
    </w:p>
    <w:p>
      <w:pPr>
        <w:ind w:firstLine="480"/>
        <w:rPr>
          <w:rFonts w:ascii="宋体" w:hAnsi="宋体"/>
          <w:sz w:val="24"/>
          <w:szCs w:val="24"/>
        </w:rPr>
      </w:pPr>
      <w:r>
        <w:rPr>
          <w:rFonts w:hint="eastAsia" w:ascii="宋体" w:hAnsi="宋体"/>
          <w:sz w:val="24"/>
          <w:szCs w:val="24"/>
        </w:rPr>
        <w:t xml:space="preserve">2.项目名称：</w:t>
      </w:r>
      <w:sdt>
        <w:sdtPr>
          <w:alias w:val="4"/>
          <w15:appearance w15:val="hidden"/>
          <w:id w:val="4"/>
          <w:lock w:val="sdtContentLocked"/>
          <w:tag w:val="项目名称"/>
          <w:rPr>
            <w:rFonts w:hint="eastAsia" w:ascii="宋体" w:hAnsi="宋体"/>
            <w:sz w:val="24"/>
            <w:szCs w:val="24"/>
          </w:rPr>
        </w:sdtPr>
        <w:sdtContent>
          <w:r>
            <w:rPr>
              <w:rFonts w:hint="default" w:ascii="经典仿宋简" w:hAnsi="经典仿宋简" w:eastAsia="经典仿宋简" w:cs="经典仿宋简"/>
              <w:sz w:val="22"/>
            </w:rPr>
            <w:t xml:space="preserve">响水县民政局2025年度居家和社区基本养老服务提升行动项目</w:t>
          </w:r>
        </w:sdtContent>
      </w:sdt>
      <w:r/>
      <w:bookmarkEnd w:id="11"/>
      <w:r/>
      <w:r/>
    </w:p>
    <w:p>
      <w:pPr>
        <w:ind w:firstLine="480"/>
        <w:rPr>
          <w:rFonts w:hint="eastAsia" w:ascii="宋体" w:hAnsi="宋体" w:eastAsia="宋体"/>
          <w:sz w:val="24"/>
          <w:szCs w:val="24"/>
          <w:lang w:val="en-US" w:eastAsia="zh-CN"/>
        </w:rPr>
      </w:pPr>
      <w:r>
        <w:rPr>
          <w:rFonts w:hint="eastAsia" w:ascii="宋体" w:hAnsi="宋体"/>
          <w:sz w:val="24"/>
          <w:szCs w:val="24"/>
        </w:rPr>
        <w:t xml:space="preserve">3.预算金额：</w:t>
      </w:r>
      <w:sdt>
        <w:sdtPr>
          <w:alias w:val="11"/>
          <w15:appearance w15:val="hidden"/>
          <w:id w:val="11"/>
          <w:lock w:val="sdtContentLocked"/>
          <w:tag w:val="采购预算"/>
          <w:rPr>
            <w:rFonts w:hint="eastAsia" w:ascii="宋体" w:hAnsi="宋体"/>
            <w:sz w:val="24"/>
            <w:szCs w:val="24"/>
          </w:rPr>
        </w:sdtPr>
        <w:sdtContent>
          <w:r>
            <w:rPr>
              <w:rFonts w:hint="default" w:ascii="经典仿宋简" w:hAnsi="经典仿宋简" w:eastAsia="经典仿宋简" w:cs="经典仿宋简"/>
              <w:sz w:val="22"/>
            </w:rPr>
            <w:t xml:space="preserve">785000</w:t>
          </w:r>
        </w:sdtContent>
      </w:sdt>
      <w:r>
        <w:rPr>
          <w:rFonts w:hint="eastAsia" w:ascii="宋体" w:hAnsi="宋体"/>
          <w:sz w:val="24"/>
          <w:szCs w:val="24"/>
          <w:lang w:eastAsia="zh-CN"/>
        </w:rPr>
        <w:t xml:space="preserve">元</w:t>
      </w:r>
      <w:r/>
    </w:p>
    <w:p>
      <w:pPr>
        <w:ind w:firstLine="480"/>
        <w:rPr>
          <w:rFonts w:hint="default" w:ascii="宋体" w:hAnsi="宋体" w:eastAsia="宋体"/>
          <w:sz w:val="24"/>
          <w:szCs w:val="24"/>
          <w:lang w:val="en-US" w:eastAsia="zh-CN"/>
        </w:rPr>
      </w:pPr>
      <w:r>
        <w:rPr>
          <w:rFonts w:hint="eastAsia" w:ascii="宋体" w:hAnsi="宋体"/>
          <w:sz w:val="24"/>
          <w:szCs w:val="24"/>
          <w:lang w:val="en-US" w:eastAsia="zh-CN"/>
        </w:rPr>
        <w:t xml:space="preserve">4.</w:t>
      </w:r>
      <w:r>
        <w:rPr>
          <w:rFonts w:hint="eastAsia" w:ascii="宋体" w:hAnsi="宋体"/>
          <w:sz w:val="24"/>
          <w:szCs w:val="24"/>
        </w:rPr>
        <w:t xml:space="preserve">最高限价：</w:t>
      </w:r>
      <w:r>
        <w:rPr>
          <w:rFonts w:hint="eastAsia" w:ascii="宋体" w:hAnsi="宋体"/>
          <w:sz w:val="24"/>
          <w:szCs w:val="24"/>
          <w:lang w:val="en-US" w:eastAsia="zh-CN"/>
        </w:rPr>
        <w:t xml:space="preserve">60元，按照固定价格60元/人次进行结算，勿需变动</w:t>
      </w:r>
      <w:r/>
    </w:p>
    <w:p>
      <w:pPr>
        <w:ind w:firstLine="480"/>
        <w:rPr>
          <w:rFonts w:hint="eastAsia" w:ascii="宋体" w:hAnsi="宋体"/>
          <w:sz w:val="24"/>
          <w:szCs w:val="24"/>
          <w:lang w:val="en-US" w:eastAsia="zh-CN"/>
        </w:rPr>
      </w:pPr>
      <w:r>
        <w:rPr>
          <w:rFonts w:hint="eastAsia" w:ascii="宋体" w:hAnsi="宋体"/>
          <w:sz w:val="24"/>
          <w:szCs w:val="24"/>
          <w:lang w:val="en-US" w:eastAsia="zh-CN"/>
        </w:rPr>
        <w:t xml:space="preserve">5</w:t>
      </w:r>
      <w:r>
        <w:rPr>
          <w:rFonts w:hint="eastAsia" w:ascii="宋体" w:hAnsi="宋体"/>
          <w:sz w:val="24"/>
          <w:szCs w:val="24"/>
        </w:rPr>
        <w:t xml:space="preserve">.采购需求（简介）：</w:t>
      </w:r>
      <w:r>
        <w:rPr>
          <w:rFonts w:hint="eastAsia" w:ascii="宋体" w:hAnsi="宋体" w:eastAsia="宋体"/>
          <w:sz w:val="24"/>
          <w:szCs w:val="24"/>
        </w:rPr>
        <w:t xml:space="preserve">为贯彻落实积极</w:t>
      </w:r>
      <w:r>
        <w:rPr>
          <w:rFonts w:hint="eastAsia" w:ascii="宋体" w:hAnsi="宋体" w:eastAsia="宋体"/>
          <w:sz w:val="24"/>
          <w:szCs w:val="24"/>
        </w:rPr>
        <w:t xml:space="preserve">应对人口老龄化国家战略，全面提升居家和社区基本养老服务能力，完善老年人床边、身边、家边可感可及的养老服务，不断增强老年人的获得感、幸福感、安全感，根据《民政部办公厅财政部办公厅关于开展2025年居家和社区基本养老服务提升行动项目申报和组织实施工作的通知》（民办函〔2024〕64号），要求在设施建设、机构培育、人才培养、服务创新等方面积极探索，形成可复制可推广的居家社区养老服务有效模式，建立健全居家社区养老服务高质量发展制度机制。按照《关于印发盐城市居家和社区基本养老服务提升行动项目实施方案的通知》等文件要求</w:t>
      </w:r>
      <w:r>
        <w:rPr>
          <w:rFonts w:hint="eastAsia" w:ascii="宋体" w:hAnsi="宋体"/>
          <w:sz w:val="24"/>
          <w:szCs w:val="24"/>
          <w:lang w:eastAsia="zh-CN"/>
        </w:rPr>
        <w:t xml:space="preserve">，要求供应商具备一定专业技术人员及既往承接类似项目业绩，针对本项目拟定切实可行的各项技术方案，来</w:t>
      </w:r>
      <w:r>
        <w:rPr>
          <w:rFonts w:hint="eastAsia" w:ascii="宋体" w:hAnsi="宋体" w:eastAsia="宋体"/>
          <w:sz w:val="24"/>
          <w:szCs w:val="24"/>
        </w:rPr>
        <w:t xml:space="preserve">开展居家和社区基本养老服务。</w:t>
      </w:r>
      <w:r/>
    </w:p>
    <w:tbl>
      <w:tblPr>
        <w:tblStyle w:val="705"/>
        <w:tblW w:w="49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3102"/>
        <w:gridCol w:w="1500"/>
        <w:gridCol w:w="3799"/>
      </w:tblGrid>
      <w:tr>
        <w:trPr>
          <w:trHeight w:val="631"/>
        </w:trPr>
        <w:tc>
          <w:tcPr>
            <w:tcW w:w="331" w:type="pct"/>
            <w:vAlign w:val="center"/>
            <w:textDirection w:val="lrTb"/>
            <w:noWrap w:val="false"/>
          </w:tcPr>
          <w:p>
            <w:pPr>
              <w:pStyle w:val="989"/>
              <w:ind w:firstLine="0"/>
              <w:jc w:val="center"/>
            </w:pPr>
            <w:r/>
            <w:bookmarkStart w:id="12" w:name="_Hlk139463694"/>
            <w:r>
              <w:rPr>
                <w:rFonts w:hint="eastAsia"/>
              </w:rPr>
              <w:t xml:space="preserve">序号</w:t>
            </w:r>
            <w:r/>
          </w:p>
        </w:tc>
        <w:tc>
          <w:tcPr>
            <w:tcW w:w="1723" w:type="pct"/>
            <w:vAlign w:val="center"/>
            <w:textDirection w:val="lrTb"/>
            <w:noWrap w:val="false"/>
          </w:tcPr>
          <w:p>
            <w:pPr>
              <w:pStyle w:val="989"/>
              <w:ind w:left="0" w:firstLine="0"/>
              <w:jc w:val="center"/>
              <w:rPr>
                <w:rFonts w:hint="eastAsia" w:eastAsia="宋体"/>
                <w:lang w:eastAsia="zh-CN"/>
              </w:rPr>
            </w:pPr>
            <w:r>
              <w:rPr>
                <w:rFonts w:hint="eastAsia"/>
                <w:lang w:eastAsia="zh-CN"/>
              </w:rPr>
              <w:t xml:space="preserve">区域</w:t>
            </w:r>
            <w:r/>
          </w:p>
        </w:tc>
        <w:tc>
          <w:tcPr>
            <w:tcW w:w="833" w:type="pct"/>
            <w:vAlign w:val="center"/>
            <w:textDirection w:val="lrTb"/>
            <w:noWrap w:val="false"/>
          </w:tcPr>
          <w:p>
            <w:pPr>
              <w:pStyle w:val="989"/>
              <w:ind w:firstLine="0"/>
              <w:jc w:val="center"/>
              <w:rPr>
                <w:rFonts w:hint="eastAsia" w:eastAsia="宋体"/>
                <w:lang w:eastAsia="zh-CN"/>
              </w:rPr>
            </w:pPr>
            <w:r>
              <w:rPr>
                <w:rFonts w:hint="eastAsia"/>
                <w:lang w:eastAsia="zh-CN"/>
              </w:rPr>
              <w:t xml:space="preserve">居家上门服务服务人数</w:t>
            </w:r>
            <w:r/>
          </w:p>
        </w:tc>
        <w:tc>
          <w:tcPr>
            <w:tcW w:w="2110" w:type="pct"/>
            <w:vAlign w:val="center"/>
            <w:textDirection w:val="lrTb"/>
            <w:noWrap w:val="false"/>
          </w:tcPr>
          <w:p>
            <w:pPr>
              <w:pStyle w:val="989"/>
              <w:ind w:firstLine="0"/>
              <w:jc w:val="center"/>
              <w:rPr>
                <w:rFonts w:hint="default"/>
                <w:lang w:val="en-US" w:eastAsia="zh-CN"/>
              </w:rPr>
            </w:pPr>
            <w:r>
              <w:rPr>
                <w:rFonts w:hint="eastAsia"/>
                <w:lang w:eastAsia="zh-CN"/>
              </w:rPr>
              <w:t xml:space="preserve">建设</w:t>
            </w:r>
            <w:r>
              <w:rPr>
                <w:rFonts w:hint="eastAsia"/>
                <w:lang w:val="en-US" w:eastAsia="zh-CN"/>
              </w:rPr>
              <w:t xml:space="preserve">/服务补贴标准</w:t>
            </w:r>
            <w:r/>
          </w:p>
        </w:tc>
      </w:tr>
      <w:tr>
        <w:trPr>
          <w:trHeight w:val="1551"/>
        </w:trPr>
        <w:tc>
          <w:tcPr>
            <w:tcW w:w="331" w:type="pct"/>
            <w:vAlign w:val="center"/>
            <w:textDirection w:val="lrTb"/>
            <w:noWrap w:val="false"/>
          </w:tcPr>
          <w:p>
            <w:pPr>
              <w:pStyle w:val="989"/>
              <w:ind w:firstLine="0"/>
              <w:rPr>
                <w:rFonts w:hAnsi="宋体"/>
                <w:sz w:val="24"/>
              </w:rPr>
            </w:pPr>
            <w:r>
              <w:rPr>
                <w:rFonts w:hint="eastAsia" w:hAnsi="宋体"/>
                <w:sz w:val="24"/>
              </w:rPr>
              <w:t xml:space="preserve">1</w:t>
            </w:r>
            <w:r/>
          </w:p>
        </w:tc>
        <w:tc>
          <w:tcPr>
            <w:tcW w:w="1723" w:type="pct"/>
            <w:vAlign w:val="top"/>
            <w:textDirection w:val="lrTb"/>
            <w:noWrap w:val="false"/>
          </w:tcPr>
          <w:p>
            <w:pPr>
              <w:pStyle w:val="927"/>
              <w:ind w:firstLine="0"/>
              <w:rPr>
                <w:rFonts w:hint="eastAsia" w:ascii="宋体" w:hAnsi="宋体" w:eastAsia="宋体"/>
                <w:szCs w:val="22"/>
                <w:lang w:val="en-US" w:eastAsia="zh-CN"/>
              </w:rPr>
            </w:pPr>
            <w:r>
              <w:rPr>
                <w:rFonts w:hint="eastAsia" w:ascii="宋体" w:hAnsi="宋体" w:eastAsia="Arial"/>
                <w:szCs w:val="22"/>
                <w:lang w:val="en-US" w:eastAsia="zh-CN"/>
              </w:rPr>
              <w:t xml:space="preserve">大有镇、南河镇、运河镇、黄圩镇、开发区、黄海农场</w:t>
            </w:r>
            <w:bookmarkEnd w:id="12"/>
            <w:r/>
            <w:r/>
          </w:p>
        </w:tc>
        <w:tc>
          <w:tcPr>
            <w:tcW w:w="833" w:type="pct"/>
            <w:vAlign w:val="center"/>
            <w:textDirection w:val="lrTb"/>
            <w:noWrap w:val="false"/>
          </w:tcPr>
          <w:p>
            <w:pPr>
              <w:pStyle w:val="989"/>
              <w:ind w:firstLine="0"/>
              <w:jc w:val="center"/>
              <w:rPr>
                <w:rFonts w:hint="default" w:hAnsi="宋体" w:eastAsia="宋体"/>
                <w:lang w:val="en-US" w:eastAsia="zh-CN"/>
              </w:rPr>
            </w:pPr>
            <w:r>
              <w:rPr>
                <w:rFonts w:hint="eastAsia" w:hAnsi="宋体"/>
                <w:lang w:val="en-US" w:eastAsia="zh-CN"/>
              </w:rPr>
              <w:t xml:space="preserve">239</w:t>
            </w:r>
            <w:r/>
          </w:p>
        </w:tc>
        <w:tc>
          <w:tcPr>
            <w:tcW w:w="2110" w:type="pct"/>
            <w:vAlign w:val="center"/>
            <w:textDirection w:val="lrTb"/>
            <w:noWrap w:val="false"/>
          </w:tcPr>
          <w:p>
            <w:pPr>
              <w:pStyle w:val="989"/>
              <w:ind w:firstLine="0"/>
              <w:jc w:val="left"/>
              <w:rPr>
                <w:rFonts w:hint="eastAsia" w:hAnsi="宋体"/>
                <w:lang w:val="en-US" w:eastAsia="zh-CN"/>
              </w:rPr>
            </w:pPr>
            <w:r>
              <w:rPr>
                <w:rFonts w:hint="eastAsia" w:hAnsi="宋体"/>
                <w:lang w:val="en-US" w:eastAsia="zh-CN"/>
              </w:rPr>
              <w:t xml:space="preserve">居家上门服务60元/次。</w:t>
            </w:r>
            <w:r/>
          </w:p>
          <w:p>
            <w:pPr>
              <w:rPr>
                <w:rFonts w:hint="eastAsia" w:hAnsi="宋体"/>
                <w:lang w:val="en-US" w:eastAsia="zh-CN"/>
              </w:rPr>
            </w:pPr>
            <w:r>
              <w:rPr>
                <w:rFonts w:hint="eastAsia" w:hAnsi="宋体"/>
                <w:lang w:val="en-US" w:eastAsia="zh-CN"/>
              </w:rPr>
              <w:t xml:space="preserve">（本次提升行动项目提供居家养老上门服务的1人次是指项目执行时间内（2026年1月底前）须为同一位服务对象累计提供 30次以上服务，且医护人员上门服务每次不低于1小时，护理员、护工、家政上门服务每次不低于 1.5 小时，服务价格不高于60元/次。）本次项目预计为每位服务对象提供55次服务</w:t>
            </w:r>
            <w:r/>
          </w:p>
          <w:p>
            <w:pPr>
              <w:rPr>
                <w:rFonts w:hint="default" w:hAnsi="宋体"/>
                <w:lang w:val="en-US" w:eastAsia="zh-CN"/>
              </w:rPr>
            </w:pPr>
            <w:r>
              <w:rPr>
                <w:rFonts w:hint="eastAsia" w:hAnsi="宋体"/>
                <w:lang w:val="en-US" w:eastAsia="zh-CN"/>
              </w:rPr>
              <w:t xml:space="preserve">本表中户数与服务人数均为统计数据，具体结算按照实际发生的数量进行结算</w:t>
            </w:r>
            <w:r/>
          </w:p>
        </w:tc>
      </w:tr>
    </w:tbl>
    <w:p>
      <w:pPr>
        <w:ind w:firstLine="480"/>
        <w:rPr>
          <w:rFonts w:hint="eastAsia" w:ascii="宋体" w:hAnsi="宋体" w:eastAsia="宋体"/>
          <w:sz w:val="24"/>
          <w:szCs w:val="24"/>
          <w:lang w:val="en-US" w:eastAsia="zh-CN"/>
        </w:rPr>
      </w:pPr>
      <w:r>
        <w:rPr>
          <w:rFonts w:hint="eastAsia" w:ascii="宋体" w:hAnsi="宋体" w:eastAsia="宋体"/>
          <w:sz w:val="24"/>
          <w:szCs w:val="24"/>
          <w:lang w:val="en-US" w:eastAsia="zh-CN"/>
        </w:rPr>
      </w:r>
      <w:r/>
    </w:p>
    <w:p>
      <w:pPr>
        <w:ind w:firstLine="480"/>
        <w:rPr>
          <w:rFonts w:hint="eastAsia" w:ascii="宋体" w:hAnsi="宋体" w:eastAsia="宋体"/>
          <w:sz w:val="24"/>
          <w:szCs w:val="24"/>
          <w:u w:val="single"/>
          <w:lang w:val="en-US" w:eastAsia="zh-CN"/>
        </w:rPr>
      </w:pPr>
      <w:r>
        <w:rPr>
          <w:rFonts w:hint="eastAsia" w:ascii="宋体" w:hAnsi="宋体"/>
          <w:sz w:val="24"/>
          <w:szCs w:val="24"/>
          <w:lang w:val="en-US" w:eastAsia="zh-CN"/>
        </w:rPr>
        <w:t xml:space="preserve">6</w:t>
      </w:r>
      <w:r>
        <w:rPr>
          <w:rFonts w:hint="eastAsia" w:ascii="宋体" w:hAnsi="宋体"/>
          <w:sz w:val="24"/>
          <w:szCs w:val="24"/>
        </w:rPr>
        <w:t xml:space="preserve">.合同履行期限：</w:t>
      </w:r>
      <w:r>
        <w:rPr>
          <w:rFonts w:hint="eastAsia" w:ascii="宋体" w:hAnsi="宋体"/>
          <w:sz w:val="24"/>
          <w:szCs w:val="24"/>
          <w:lang w:val="en-US" w:eastAsia="zh-CN"/>
        </w:rPr>
        <w:t xml:space="preserve">居家上门服务从合同签订之日起至2026年1月底，并通过采购人验收。2026年2月将家庭养老床位建设和居家养老上门服务组织实施、任务完成、资金使用、绩效评价等情况，形成工作总结，并整理完善相关工作台账和档案资料。</w:t>
      </w:r>
      <w:r/>
    </w:p>
    <w:p>
      <w:pPr>
        <w:ind w:firstLine="498"/>
        <w:keepLines/>
        <w:keepNext/>
        <w:spacing w:before="145" w:after="145" w:line="360" w:lineRule="auto"/>
        <w:rPr>
          <w:rFonts w:ascii="Times New Roman" w:hAnsi="Times New Roman"/>
          <w:b/>
          <w:bCs/>
          <w:sz w:val="32"/>
          <w:szCs w:val="32"/>
        </w:rPr>
        <w:outlineLvl w:val="2"/>
      </w:pPr>
      <w:r/>
      <w:bookmarkStart w:id="13" w:name="_Toc35393791"/>
      <w:r/>
      <w:bookmarkStart w:id="14" w:name="_Toc28359080"/>
      <w:r/>
      <w:bookmarkStart w:id="15" w:name="_Toc35393622"/>
      <w:r/>
      <w:bookmarkStart w:id="16" w:name="_Toc28359003"/>
      <w:r/>
      <w:bookmarkStart w:id="17" w:name="_Toc38985264"/>
      <w:r>
        <w:rPr>
          <w:rFonts w:hint="eastAsia" w:ascii="Times New Roman" w:hAnsi="Times New Roman"/>
          <w:b/>
          <w:bCs/>
          <w:sz w:val="32"/>
          <w:szCs w:val="32"/>
        </w:rPr>
        <w:t xml:space="preserve">二、申请人的资格要求：</w:t>
      </w:r>
      <w:bookmarkEnd w:id="13"/>
      <w:r/>
      <w:bookmarkEnd w:id="14"/>
      <w:r/>
      <w:bookmarkEnd w:id="15"/>
      <w:r/>
      <w:bookmarkEnd w:id="16"/>
      <w:r/>
      <w:bookmarkEnd w:id="17"/>
      <w:r/>
      <w:r/>
    </w:p>
    <w:p>
      <w:pPr>
        <w:ind w:firstLine="480"/>
        <w:rPr>
          <w:rFonts w:hint="eastAsia" w:ascii="宋体" w:hAnsi="宋体"/>
          <w:sz w:val="24"/>
          <w:szCs w:val="24"/>
        </w:rPr>
      </w:pPr>
      <w:r/>
      <w:bookmarkStart w:id="18" w:name="_Toc38985265"/>
      <w:r/>
      <w:bookmarkStart w:id="19" w:name="_Toc28359004"/>
      <w:r/>
      <w:bookmarkStart w:id="20" w:name="_Toc28359081"/>
      <w:r/>
      <w:bookmarkStart w:id="21" w:name="_Toc35393623"/>
      <w:r/>
      <w:bookmarkStart w:id="22"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hint="eastAsia" w:ascii="华文新魏" w:hAnsi="宋体" w:eastAsia="华文新魏"/>
          <w:sz w:val="36"/>
          <w:szCs w:val="36"/>
        </w:rPr>
      </w:pPr>
      <w:r>
        <w:rPr>
          <w:rFonts w:hint="eastAsia" w:ascii="宋体" w:hAnsi="宋体"/>
          <w:sz w:val="24"/>
          <w:szCs w:val="24"/>
          <w:lang w:val="en-US" w:eastAsia="zh-CN"/>
        </w:rPr>
        <w:t xml:space="preserve">1.6</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lang w:eastAsia="zh-CN"/>
        </w:rPr>
        <w:t xml:space="preserve">；</w:t>
      </w:r>
      <w:r>
        <w:rPr>
          <w:rFonts w:hint="eastAsia" w:ascii="宋体" w:hAnsi="宋体"/>
          <w:sz w:val="24"/>
          <w:szCs w:val="24"/>
        </w:rPr>
        <w:t xml:space="preserve">（响应文件中无需提供证明材料）</w:t>
      </w:r>
      <w:r/>
    </w:p>
    <w:p>
      <w:pPr>
        <w:ind w:firstLine="480"/>
        <w:rPr>
          <w:rFonts w:ascii="宋体" w:hAnsi="宋体"/>
          <w:sz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rPr>
        <w:t xml:space="preserve">单位负责人为同一人或者存在直接控股、管理关系的不同供应商，不得参加同一合同项下的政府采购活动；</w:t>
      </w:r>
      <w:r/>
    </w:p>
    <w:p>
      <w:pPr>
        <w:ind w:firstLine="480"/>
        <w:rPr>
          <w:rFonts w:hint="eastAsia" w:ascii="宋体" w:hAnsi="宋体"/>
          <w:sz w:val="24"/>
          <w:lang w:eastAsia="zh-CN"/>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法律、行政法规规定的其他条件</w:t>
      </w:r>
      <w:r>
        <w:rPr>
          <w:rFonts w:hint="eastAsia" w:ascii="宋体" w:hAnsi="宋体"/>
          <w:sz w:val="24"/>
          <w:lang w:eastAsia="zh-CN"/>
        </w:rPr>
        <w:t xml:space="preserve">；</w:t>
      </w:r>
      <w:r/>
    </w:p>
    <w:p>
      <w:pPr>
        <w:numPr>
          <w:ilvl w:val="0"/>
          <w:numId w:val="5"/>
        </w:numPr>
        <w:ind w:firstLine="480"/>
        <w:rPr>
          <w:rFonts w:hint="eastAsia" w:ascii="宋体" w:hAnsi="宋体" w:eastAsia="宋体" w:cs="宋体"/>
          <w:sz w:val="24"/>
          <w:szCs w:val="24"/>
          <w:lang w:eastAsia="zh-CN"/>
        </w:rPr>
      </w:pPr>
      <w:r>
        <w:rPr>
          <w:rFonts w:hint="eastAsia" w:ascii="宋体" w:hAnsi="宋体"/>
          <w:sz w:val="24"/>
          <w:szCs w:val="24"/>
        </w:rPr>
        <w:t xml:space="preserve">落实政府采购政策需满足的资格要求：</w:t>
      </w:r>
      <w:r/>
    </w:p>
    <w:p>
      <w:pPr>
        <w:numPr>
          <w:numId w:val="0"/>
        </w:numPr>
        <w:ind w:firstLine="480"/>
        <w:rPr>
          <w:rFonts w:hint="eastAsia" w:ascii="宋体" w:hAnsi="宋体" w:eastAsia="宋体" w:cs="宋体"/>
          <w:sz w:val="24"/>
          <w:szCs w:val="24"/>
          <w:lang w:eastAsia="zh-CN"/>
        </w:rPr>
      </w:pPr>
      <w:r>
        <w:rPr>
          <w:rFonts w:hint="eastAsia" w:ascii="宋体" w:hAnsi="宋体"/>
          <w:sz w:val="24"/>
          <w:szCs w:val="24"/>
          <w:lang w:val="en-US" w:eastAsia="zh-CN"/>
        </w:rPr>
        <w:t xml:space="preserve">2.1</w:t>
      </w:r>
      <w:r>
        <w:rPr>
          <w:rFonts w:hint="eastAsia" w:ascii="宋体" w:hAnsi="宋体"/>
          <w:sz w:val="24"/>
          <w:szCs w:val="24"/>
        </w:rPr>
        <w:t xml:space="preserve">本项目专门面向中小企业</w:t>
      </w:r>
      <w:r>
        <w:rPr>
          <w:rFonts w:hint="eastAsia" w:ascii="宋体" w:hAnsi="宋体"/>
          <w:sz w:val="24"/>
          <w:szCs w:val="24"/>
        </w:rPr>
        <w:t xml:space="preserve">采购项目。采购标的的所属行业为其他未列明行业，</w:t>
      </w:r>
      <w:r>
        <w:rPr>
          <w:rFonts w:hint="eastAsia" w:ascii="宋体" w:hAnsi="宋体"/>
          <w:sz w:val="24"/>
          <w:szCs w:val="24"/>
          <w:lang w:eastAsia="zh-CN"/>
        </w:rPr>
        <w:t xml:space="preserve">供应商</w:t>
      </w:r>
      <w:r>
        <w:rPr>
          <w:rFonts w:hint="eastAsia" w:ascii="宋体" w:hAnsi="宋体"/>
          <w:sz w:val="24"/>
          <w:szCs w:val="24"/>
        </w:rPr>
        <w:t xml:space="preserve">需按照采购文件的要求提供相应的《企业声明函》。企业标准请参照《关于印发中小企业划型标准规定的通知》（工信部联企业[2011]300号）文件规定自行填写</w:t>
      </w:r>
      <w:r>
        <w:rPr>
          <w:rFonts w:hint="eastAsia" w:ascii="宋体" w:hAnsi="宋体"/>
          <w:sz w:val="24"/>
          <w:szCs w:val="24"/>
          <w:lang w:eastAsia="zh-CN"/>
        </w:rPr>
        <w:t xml:space="preserve">；残疾人福利单位需按照采购文件的要求提供《残疾人福利性单位声明函》；监狱企业参加政府采购活动时，需提供由省级以上监狱管理局、戒毒管理局(含新疆生产建设兵团)出具的属于监狱企业的证明文件。</w:t>
      </w:r>
      <w:r/>
    </w:p>
    <w:p>
      <w:pPr>
        <w:ind w:firstLine="480"/>
        <w:rPr>
          <w:rFonts w:hint="default" w:ascii="宋体" w:hAnsi="宋体" w:eastAsia="宋体"/>
          <w:sz w:val="24"/>
          <w:szCs w:val="24"/>
          <w:lang w:val="en-US" w:eastAsia="zh-CN"/>
        </w:rPr>
      </w:pPr>
      <w:r>
        <w:rPr>
          <w:rFonts w:ascii="宋体" w:hAnsi="宋体" w:cs="宋体"/>
          <w:sz w:val="24"/>
          <w:szCs w:val="24"/>
        </w:rPr>
        <w:t xml:space="preserve">2.</w:t>
      </w:r>
      <w:r>
        <w:rPr>
          <w:rFonts w:hint="eastAsia" w:ascii="宋体" w:hAnsi="宋体" w:cs="宋体"/>
          <w:sz w:val="24"/>
          <w:szCs w:val="24"/>
          <w:lang w:val="en-US" w:eastAsia="zh-CN"/>
        </w:rPr>
        <w:t xml:space="preserve">2</w:t>
      </w:r>
      <w:r>
        <w:rPr>
          <w:rFonts w:hint="eastAsia" w:ascii="宋体" w:hAnsi="宋体" w:cs="宋体"/>
          <w:sz w:val="24"/>
          <w:szCs w:val="24"/>
        </w:rPr>
        <w:t xml:space="preserve">本次采购项目属于</w:t>
      </w:r>
      <w:r>
        <w:rPr>
          <w:rFonts w:hint="eastAsia" w:ascii="宋体" w:hAnsi="宋体" w:cs="宋体"/>
          <w:sz w:val="24"/>
          <w:szCs w:val="24"/>
          <w:lang w:eastAsia="zh-CN"/>
        </w:rPr>
        <w:t xml:space="preserve">服务类项目，中小企业划分为</w:t>
      </w:r>
      <w:r>
        <w:rPr>
          <w:rFonts w:hint="eastAsia" w:ascii="宋体" w:hAnsi="宋体" w:cs="宋体"/>
          <w:sz w:val="24"/>
          <w:szCs w:val="24"/>
          <w:u w:val="single"/>
          <w:lang w:eastAsia="zh-CN"/>
        </w:rPr>
        <w:t xml:space="preserve">其他未列明行业</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.本项目</w:t>
      </w:r>
      <w:r>
        <w:rPr>
          <w:rFonts w:hint="eastAsia" w:ascii="宋体" w:hAnsi="宋体"/>
          <w:sz w:val="24"/>
          <w:szCs w:val="24"/>
          <w:u w:val="single"/>
          <w:lang w:eastAsia="zh-CN"/>
        </w:rPr>
        <w:t xml:space="preserve">接受</w:t>
      </w:r>
      <w:r>
        <w:rPr>
          <w:rFonts w:hint="eastAsia" w:ascii="宋体" w:hAnsi="宋体"/>
          <w:sz w:val="24"/>
          <w:szCs w:val="24"/>
        </w:rPr>
        <w:t xml:space="preserve">联合体参与磋商,联合体中所有成员数量不得超过</w:t>
      </w:r>
      <w:r>
        <w:rPr>
          <w:rFonts w:hint="eastAsia" w:ascii="宋体" w:hAnsi="宋体"/>
          <w:sz w:val="24"/>
          <w:szCs w:val="24"/>
          <w:u w:val="single"/>
          <w:lang w:val="en-US" w:eastAsia="zh-CN"/>
        </w:rPr>
        <w:t xml:space="preserve">2</w:t>
      </w:r>
      <w:r>
        <w:rPr>
          <w:rFonts w:hint="eastAsia" w:ascii="宋体" w:hAnsi="宋体"/>
          <w:sz w:val="24"/>
          <w:szCs w:val="24"/>
        </w:rPr>
        <w:t xml:space="preserve">名。</w:t>
      </w:r>
      <w:r/>
    </w:p>
    <w:p>
      <w:pPr>
        <w:ind w:firstLine="480"/>
        <w:rPr>
          <w:rFonts w:hint="eastAsia" w:ascii="宋体" w:hAnsi="宋体" w:eastAsia="宋体"/>
          <w:sz w:val="24"/>
          <w:szCs w:val="24"/>
          <w:u w:val="none"/>
          <w:lang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：提供</w:t>
      </w:r>
      <w:r>
        <w:rPr>
          <w:rFonts w:hint="eastAsia" w:ascii="宋体" w:hAnsi="宋体"/>
          <w:sz w:val="24"/>
          <w:szCs w:val="24"/>
          <w:u w:val="none"/>
          <w:lang w:eastAsia="zh-CN"/>
        </w:rPr>
        <w:t xml:space="preserve">卫</w:t>
      </w:r>
      <w:r>
        <w:rPr>
          <w:rFonts w:hint="eastAsia" w:ascii="宋体" w:hAnsi="宋体"/>
          <w:sz w:val="24"/>
          <w:szCs w:val="24"/>
          <w:u w:val="none"/>
          <w:lang w:eastAsia="zh-CN"/>
        </w:rPr>
        <w:t xml:space="preserve">生行政主管部门核发的《医疗机构执业许可证》。</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8"/>
      <w:r/>
      <w:bookmarkEnd w:id="19"/>
      <w:r/>
      <w:bookmarkEnd w:id="20"/>
      <w:r/>
      <w:bookmarkEnd w:id="21"/>
      <w:r/>
      <w:bookmarkEnd w:id="22"/>
      <w:r>
        <w:rPr>
          <w:rFonts w:hint="eastAsia" w:ascii="Times New Roman" w:hAnsi="Times New Roman"/>
          <w:b/>
          <w:bCs/>
          <w:sz w:val="32"/>
          <w:szCs w:val="32"/>
        </w:rPr>
        <w:t xml:space="preserve">磋商文件</w:t>
      </w:r>
      <w:r/>
    </w:p>
    <w:p>
      <w:pPr>
        <w:ind w:firstLine="480"/>
        <w:rPr>
          <w:rFonts w:ascii="宋体" w:hAnsi="宋体"/>
          <w:sz w:val="24"/>
          <w:szCs w:val="24"/>
        </w:rPr>
      </w:pPr>
      <w:r/>
      <w:bookmarkStart w:id="23" w:name="_Toc28359005"/>
      <w:r/>
      <w:bookmarkStart w:id="24" w:name="_Toc28359082"/>
      <w:r/>
      <w:bookmarkStart w:id="25" w:name="_Toc35393624"/>
      <w:r/>
      <w:bookmarkStart w:id="26" w:name="_Toc35393793"/>
      <w:r/>
      <w:bookmarkStart w:id="27" w:name="_Toc38985266"/>
      <w:r>
        <w:rPr>
          <w:rFonts w:hint="eastAsia" w:ascii="宋体" w:hAnsi="宋体" w:cs="宋体"/>
          <w:sz w:val="24"/>
          <w:szCs w:val="24"/>
        </w:rPr>
        <w:t xml:space="preserve">1.时间：自磋商文件公告发布之日起5个工作日。</w:t>
      </w:r>
      <w:r/>
    </w:p>
    <w:p>
      <w:pPr>
        <w:ind w:firstLine="480"/>
        <w:rPr>
          <w:rFonts w:ascii="宋体" w:hAnsi="宋体"/>
          <w:sz w:val="24"/>
          <w:szCs w:val="24"/>
        </w:rPr>
      </w:pPr>
      <w:r>
        <w:rPr>
          <w:rFonts w:hint="eastAsia" w:ascii="宋体" w:hAnsi="宋体" w:cs="宋体"/>
          <w:sz w:val="24"/>
          <w:szCs w:val="24"/>
        </w:rPr>
        <w:t xml:space="preserve">2.地点：“苏采云”系统内免费下载（</w:t>
      </w:r>
      <w:r>
        <w:rPr>
          <w:rFonts w:hint="eastAsia" w:ascii="宋体" w:hAnsi="宋体" w:cs="宋体"/>
          <w:sz w:val="24"/>
          <w:szCs w:val="24"/>
          <w:lang w:eastAsia="zh-CN"/>
        </w:rPr>
        <w:t xml:space="preserve">供应商</w:t>
      </w:r>
      <w:r>
        <w:rPr>
          <w:rFonts w:hint="eastAsia" w:ascii="宋体" w:hAnsi="宋体" w:cs="宋体"/>
          <w:sz w:val="24"/>
          <w:szCs w:val="24"/>
        </w:rPr>
        <w:t xml:space="preserve">必须在苏采云系统中获取采购文件，方能参与政府采购项目）。</w:t>
      </w:r>
      <w:r/>
    </w:p>
    <w:p>
      <w:pPr>
        <w:ind w:firstLine="498"/>
        <w:keepLines/>
        <w:keepNext/>
        <w:spacing w:before="145" w:after="145"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3.方式：本项目采用网上注册登记方式。</w:t>
      </w:r>
      <w:r/>
    </w:p>
    <w:p>
      <w:pPr>
        <w:ind w:firstLine="498"/>
        <w:keepLines/>
        <w:keepNext/>
        <w:spacing w:before="145" w:after="145" w:line="360" w:lineRule="auto"/>
        <w:rPr>
          <w:rFonts w:ascii="宋体" w:hAnsi="宋体" w:cs="宋体"/>
          <w:sz w:val="24"/>
          <w:szCs w:val="24"/>
        </w:rPr>
        <w:outlineLvl w:val="2"/>
      </w:pPr>
      <w:r>
        <w:rPr>
          <w:rFonts w:hint="eastAsia" w:ascii="宋体" w:hAnsi="宋体" w:cs="宋体"/>
          <w:sz w:val="24"/>
          <w:szCs w:val="24"/>
        </w:rPr>
        <w:t xml:space="preserve">4.售价：0元。</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3"/>
      <w:r/>
      <w:bookmarkEnd w:id="24"/>
      <w:r>
        <w:rPr>
          <w:rFonts w:hint="eastAsia" w:ascii="Times New Roman" w:hAnsi="Times New Roman"/>
          <w:b/>
          <w:bCs/>
          <w:sz w:val="32"/>
          <w:szCs w:val="32"/>
        </w:rPr>
        <w:t xml:space="preserve">响应文件截止时间</w:t>
      </w:r>
      <w:bookmarkEnd w:id="25"/>
      <w:r/>
      <w:bookmarkEnd w:id="26"/>
      <w:r/>
      <w:bookmarkEnd w:id="27"/>
      <w:r/>
      <w:r/>
    </w:p>
    <w:p>
      <w:pPr>
        <w:ind w:firstLine="480"/>
        <w:rPr>
          <w:rFonts w:ascii="宋体" w:hAnsi="宋体"/>
          <w:bCs/>
          <w:sz w:val="24"/>
          <w:szCs w:val="24"/>
          <w:u w:val="single"/>
        </w:rPr>
      </w:pPr>
      <w:r>
        <w:rPr>
          <w:rFonts w:hint="eastAsia" w:ascii="宋体" w:hAnsi="宋体"/>
          <w:bCs/>
          <w:sz w:val="24"/>
          <w:szCs w:val="24"/>
          <w:u w:val="single"/>
        </w:rPr>
        <w:t xml:space="preserve">1.</w:t>
      </w:r>
      <w:sdt>
        <w:sdtPr>
          <w:alias w:val="12"/>
          <w15:appearance w15:val="hidden"/>
          <w:id w:val="12"/>
          <w:lock w:val="sdtContentLocked"/>
          <w:tag w:val="投标文件接收截止时间"/>
          <w:rPr>
            <w:rFonts w:hint="eastAsia" w:ascii="宋体" w:hAnsi="宋体"/>
            <w:bCs/>
            <w:sz w:val="24"/>
            <w:szCs w:val="24"/>
            <w:u w:val="single"/>
          </w:rPr>
        </w:sdtPr>
        <w:sdtContent>
          <w:r>
            <w:t xml:space="preserve">投标文件接收截止时间</w:t>
          </w:r>
        </w:sdtContent>
      </w:sdt>
      <w:r>
        <w:rPr>
          <w:rFonts w:hint="eastAsia" w:ascii="宋体" w:hAnsi="宋体"/>
          <w:bCs/>
          <w:sz w:val="24"/>
          <w:szCs w:val="24"/>
          <w:u w:val="single"/>
          <w:lang w:eastAsia="zh-CN"/>
        </w:rPr>
        <w:t xml:space="preserve">：</w:t>
      </w:r>
      <w:r>
        <w:rPr>
          <w:rFonts w:hint="eastAsia" w:ascii="宋体" w:hAnsi="宋体"/>
          <w:bCs/>
          <w:sz w:val="24"/>
          <w:szCs w:val="24"/>
          <w:u w:val="single"/>
        </w:rPr>
        <w:t xml:space="preserve">202</w:t>
      </w:r>
      <w:r>
        <w:rPr>
          <w:rFonts w:ascii="宋体" w:hAnsi="宋体"/>
          <w:bCs/>
          <w:sz w:val="24"/>
          <w:szCs w:val="24"/>
          <w:u w:val="single"/>
        </w:rPr>
        <w:t xml:space="preserve">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12</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16</w:t>
      </w:r>
      <w:r>
        <w:rPr>
          <w:rFonts w:hint="eastAsia" w:ascii="宋体" w:hAnsi="宋体"/>
          <w:bCs/>
          <w:sz w:val="24"/>
          <w:szCs w:val="24"/>
          <w:u w:val="single"/>
        </w:rPr>
        <w:t xml:space="preserve">日</w:t>
      </w:r>
      <w:r>
        <w:rPr>
          <w:rFonts w:ascii="宋体" w:hAnsi="宋体"/>
          <w:bCs/>
          <w:sz w:val="24"/>
          <w:szCs w:val="24"/>
          <w:u w:val="single"/>
        </w:rPr>
        <w:t xml:space="preserve">9</w:t>
      </w:r>
      <w:r>
        <w:rPr>
          <w:rFonts w:hint="eastAsia" w:ascii="宋体" w:hAnsi="宋体"/>
          <w:bCs/>
          <w:sz w:val="24"/>
          <w:szCs w:val="24"/>
          <w:u w:val="single"/>
        </w:rPr>
        <w:t xml:space="preserve">时00分</w:t>
      </w:r>
      <w:r>
        <w:rPr>
          <w:rFonts w:hint="eastAsia" w:ascii="宋体" w:hAnsi="宋体"/>
          <w:bCs/>
          <w:sz w:val="24"/>
          <w:szCs w:val="24"/>
          <w:u w:val="single"/>
          <w:lang w:eastAsia="zh-CN"/>
        </w:rPr>
        <w:t xml:space="preserve">（</w:t>
      </w:r>
      <w:r>
        <w:rPr>
          <w:rFonts w:hint="eastAsia" w:ascii="宋体" w:hAnsi="宋体"/>
          <w:bCs/>
          <w:sz w:val="24"/>
          <w:szCs w:val="24"/>
        </w:rPr>
        <w:t xml:space="preserve">北京时间）。</w:t>
      </w:r>
      <w:r/>
    </w:p>
    <w:p>
      <w:pPr>
        <w:ind w:firstLine="498"/>
        <w:keepLines/>
        <w:keepNext/>
        <w:spacing w:before="145" w:after="145" w:line="360" w:lineRule="auto"/>
        <w:rPr>
          <w:rFonts w:hint="eastAsia" w:ascii="Times New Roman" w:hAnsi="Times New Roman" w:eastAsia="宋体"/>
          <w:b/>
          <w:bCs/>
          <w:sz w:val="32"/>
          <w:szCs w:val="32"/>
          <w:lang w:eastAsia="zh-CN"/>
        </w:rPr>
        <w:outlineLvl w:val="2"/>
      </w:pPr>
      <w:r/>
      <w:bookmarkStart w:id="28" w:name="_Toc28359084"/>
      <w:r/>
      <w:bookmarkStart w:id="29" w:name="_Toc38985267"/>
      <w:r/>
      <w:bookmarkStart w:id="30" w:name="_Toc35393625"/>
      <w:r/>
      <w:bookmarkStart w:id="31" w:name="_Toc28359007"/>
      <w:r/>
      <w:bookmarkStart w:id="32" w:name="_Toc35393794"/>
      <w:r/>
      <w:bookmarkStart w:id="33" w:name="_Toc35393796"/>
      <w:r/>
      <w:bookmarkStart w:id="34" w:name="_Toc38985269"/>
      <w:r/>
      <w:bookmarkStart w:id="35" w:name="_Toc35393627"/>
      <w:r/>
      <w:bookmarkStart w:id="36" w:name="_Toc28359085"/>
      <w:r/>
      <w:bookmarkStart w:id="37" w:name="_Toc28359008"/>
      <w:r>
        <w:rPr>
          <w:rFonts w:hint="eastAsia" w:ascii="Times New Roman" w:hAnsi="Times New Roman"/>
          <w:b/>
          <w:bCs/>
          <w:sz w:val="32"/>
          <w:szCs w:val="32"/>
        </w:rPr>
        <w:t xml:space="preserve">五、</w:t>
      </w:r>
      <w:bookmarkEnd w:id="28"/>
      <w:r/>
      <w:bookmarkEnd w:id="29"/>
      <w:r/>
      <w:bookmarkEnd w:id="30"/>
      <w:r/>
      <w:bookmarkEnd w:id="31"/>
      <w:r/>
      <w:bookmarkEnd w:id="32"/>
      <w:r>
        <w:rPr>
          <w:rFonts w:hint="eastAsia" w:ascii="Times New Roman" w:hAnsi="Times New Roman"/>
          <w:b/>
          <w:bCs/>
          <w:sz w:val="32"/>
          <w:szCs w:val="32"/>
          <w:lang w:eastAsia="zh-CN"/>
        </w:rPr>
        <w:t xml:space="preserve">开启</w:t>
      </w:r>
      <w:r/>
    </w:p>
    <w:p>
      <w:pPr>
        <w:ind w:firstLine="498"/>
        <w:keepLines/>
        <w:keepNext/>
        <w:spacing w:before="145" w:after="145" w:line="360" w:lineRule="auto"/>
        <w:rPr>
          <w:rFonts w:ascii="宋体" w:hAnsi="宋体" w:cs="宋体"/>
          <w:sz w:val="24"/>
          <w:szCs w:val="24"/>
        </w:rPr>
        <w:outlineLvl w:val="2"/>
      </w:pPr>
      <w:r/>
      <w:bookmarkStart w:id="38" w:name="_Toc38985268"/>
      <w:r/>
      <w:bookmarkStart w:id="39" w:name="_Toc35393626"/>
      <w:r/>
      <w:bookmarkStart w:id="40" w:name="_Toc35393795"/>
      <w:r>
        <w:rPr>
          <w:rFonts w:hint="eastAsia" w:ascii="宋体" w:hAnsi="宋体" w:cs="宋体"/>
          <w:sz w:val="24"/>
          <w:szCs w:val="24"/>
        </w:rPr>
        <w:t xml:space="preserve">时间：202</w:t>
      </w:r>
      <w:r>
        <w:rPr>
          <w:rFonts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lang w:val="en-US" w:eastAsia="zh-CN"/>
        </w:rPr>
        <w:t xml:space="preserve">12</w:t>
      </w:r>
      <w:r>
        <w:rPr>
          <w:rFonts w:hint="eastAsia" w:ascii="宋体" w:hAnsi="宋体" w:cs="宋体"/>
          <w:sz w:val="24"/>
          <w:szCs w:val="24"/>
        </w:rPr>
        <w:t xml:space="preserve">-</w:t>
      </w:r>
      <w:r>
        <w:rPr>
          <w:rFonts w:hint="eastAsia" w:ascii="宋体" w:hAnsi="宋体" w:cs="宋体"/>
          <w:sz w:val="24"/>
          <w:szCs w:val="24"/>
          <w:lang w:val="en-US" w:eastAsia="zh-CN"/>
        </w:rPr>
        <w:t xml:space="preserve">19</w:t>
      </w:r>
      <w:r>
        <w:rPr>
          <w:rFonts w:ascii="宋体" w:hAnsi="宋体" w:cs="宋体"/>
          <w:sz w:val="24"/>
          <w:szCs w:val="24"/>
        </w:rPr>
        <w:t xml:space="preserve">-9</w:t>
      </w:r>
      <w:r>
        <w:rPr>
          <w:rFonts w:hint="eastAsia" w:ascii="宋体" w:hAnsi="宋体" w:cs="宋体"/>
          <w:sz w:val="24"/>
          <w:szCs w:val="24"/>
        </w:rPr>
        <w:t xml:space="preserve">:00（北京时间）</w:t>
      </w:r>
      <w:r/>
    </w:p>
    <w:p>
      <w:pPr>
        <w:ind w:firstLine="480"/>
        <w:rPr>
          <w:rFonts w:ascii="宋体" w:hAnsi="宋体" w:cs="宋体"/>
          <w:sz w:val="24"/>
          <w:szCs w:val="24"/>
        </w:rPr>
      </w:pPr>
      <w:r>
        <w:rPr>
          <w:rFonts w:hint="eastAsia" w:ascii="宋体" w:hAnsi="宋体" w:cs="宋体"/>
          <w:sz w:val="24"/>
          <w:szCs w:val="24"/>
        </w:rPr>
        <w:t xml:space="preserve">地点：“苏采云”政府采购交易系统网上开标大厅</w:t>
      </w:r>
      <w:bookmarkEnd w:id="38"/>
      <w:r/>
      <w:bookmarkEnd w:id="39"/>
      <w:r/>
      <w:bookmarkEnd w:id="40"/>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六、公告期限</w:t>
      </w:r>
      <w:r/>
    </w:p>
    <w:p>
      <w:pPr>
        <w:ind w:firstLine="498"/>
        <w:keepLines/>
        <w:keepNext/>
        <w:spacing w:before="145" w:after="145" w:line="360" w:lineRule="auto"/>
        <w:rPr>
          <w:rFonts w:ascii="宋体" w:hAnsi="宋体" w:cs="宋体"/>
          <w:sz w:val="24"/>
          <w:szCs w:val="24"/>
        </w:rPr>
        <w:outlineLvl w:val="2"/>
      </w:pPr>
      <w:r>
        <w:rPr>
          <w:rFonts w:hint="eastAsia" w:ascii="宋体" w:hAnsi="宋体" w:cs="宋体"/>
          <w:sz w:val="24"/>
          <w:szCs w:val="24"/>
        </w:rPr>
        <w:t xml:space="preserve">磋商公告及磋商文件公告期限为自本公告发布之日起3个工作日</w:t>
      </w:r>
      <w:r/>
    </w:p>
    <w:p>
      <w:pPr>
        <w:ind w:firstLine="480"/>
        <w:rPr>
          <w:rFonts w:ascii="宋体" w:hAnsi="宋体" w:cs="宋体"/>
          <w:sz w:val="24"/>
          <w:szCs w:val="24"/>
        </w:rPr>
      </w:pPr>
      <w:r>
        <w:rPr>
          <w:rFonts w:hint="eastAsia" w:ascii="Times New Roman" w:hAnsi="Times New Roman"/>
          <w:b/>
          <w:bCs/>
          <w:sz w:val="32"/>
          <w:szCs w:val="32"/>
        </w:rPr>
        <w:t xml:space="preserve">七、其他补充事宜</w:t>
      </w:r>
      <w:r/>
    </w:p>
    <w:p>
      <w:pPr>
        <w:ind w:firstLine="498"/>
        <w:keepLines/>
        <w:keepNext/>
        <w:spacing w:before="145" w:after="145"/>
        <w:rPr>
          <w:rFonts w:hint="eastAsia" w:ascii="宋体" w:hAnsi="宋体" w:eastAsia="宋体" w:cs="宋体"/>
          <w:color w:val="ff0000"/>
          <w:sz w:val="24"/>
          <w:lang w:eastAsia="zh-CN"/>
        </w:rPr>
        <w:outlineLvl w:val="2"/>
      </w:pPr>
      <w:r/>
      <w:bookmarkStart w:id="41" w:name="OLE_LINK4"/>
      <w:r>
        <w:rPr>
          <w:rFonts w:ascii="宋体" w:hAnsi="宋体" w:cs="宋体"/>
          <w:sz w:val="24"/>
        </w:rPr>
        <w:t xml:space="preserve">1</w:t>
      </w:r>
      <w:r>
        <w:rPr>
          <w:rFonts w:hint="eastAsia" w:ascii="宋体" w:hAnsi="宋体" w:cs="宋体"/>
          <w:sz w:val="24"/>
        </w:rPr>
        <w:t xml:space="preserve">、付款方式：合同签订后，采购人收到预付款发票后</w:t>
      </w:r>
      <w:r>
        <w:rPr>
          <w:rFonts w:hint="eastAsia" w:ascii="宋体" w:hAnsi="宋体" w:cs="宋体"/>
          <w:sz w:val="24"/>
          <w:lang w:val="en-US" w:eastAsia="zh-CN"/>
        </w:rPr>
        <w:t xml:space="preserve">15</w:t>
      </w:r>
      <w:r>
        <w:rPr>
          <w:rFonts w:hint="eastAsia" w:ascii="宋体" w:hAnsi="宋体" w:cs="宋体"/>
          <w:sz w:val="24"/>
        </w:rPr>
        <w:t xml:space="preserve">个工作日内，预付款支付比例：合同金额（按实际发生额）的30%</w:t>
      </w:r>
      <w:r>
        <w:rPr>
          <w:rFonts w:hint="eastAsia" w:ascii="宋体" w:hAnsi="宋体" w:cs="宋体"/>
          <w:sz w:val="24"/>
          <w:lang w:eastAsia="zh-CN"/>
        </w:rPr>
        <w:t xml:space="preserve">，项目期满，完成采购人实际交办的全部任务并经过最终验收评估合格，经第三方审计机构出具审计报告后，按审计结果付款</w:t>
      </w:r>
      <w:r>
        <w:rPr>
          <w:rFonts w:hint="eastAsia" w:ascii="宋体" w:hAnsi="宋体" w:cs="宋体"/>
          <w:sz w:val="24"/>
        </w:rPr>
        <w:t xml:space="preserve">（以上付款均无息）</w:t>
      </w:r>
      <w:r>
        <w:rPr>
          <w:rFonts w:hint="eastAsia" w:ascii="宋体" w:hAnsi="宋体" w:cs="宋体"/>
          <w:sz w:val="24"/>
          <w:lang w:eastAsia="zh-CN"/>
        </w:rPr>
        <w:t xml:space="preserve">。</w:t>
      </w:r>
      <w:r/>
    </w:p>
    <w:p>
      <w:pPr>
        <w:ind w:firstLine="480"/>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宋体"/>
          <w:sz w:val="24"/>
          <w:lang w:eastAsia="zh-CN"/>
        </w:rPr>
        <w:t xml:space="preserve">供应商</w:t>
      </w:r>
      <w:r>
        <w:rPr>
          <w:rFonts w:ascii="宋体" w:hAnsi="宋体" w:cs="宋体"/>
          <w:sz w:val="24"/>
        </w:rPr>
        <w:t xml:space="preserve">通过苏采云系统参与政府采购项目，需要更换CA数字证书和电子签章。具体办理指南和操作手册：在盐城市政府采购网点击【办事指南】-【供应商参与政府采购活动相关资料】。</w:t>
      </w:r>
      <w:r/>
    </w:p>
    <w:p>
      <w:pPr>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rPr>
          <w:rFonts w:ascii="宋体" w:hAnsi="宋体" w:cs="宋体"/>
          <w:sz w:val="24"/>
        </w:rPr>
        <w:br/>
      </w:r>
      <w:r>
        <w:rPr>
          <w:rFonts w:ascii="宋体" w:hAnsi="宋体" w:cs="宋体"/>
          <w:sz w:val="24"/>
        </w:rPr>
        <w:t xml:space="preserve">    参与采购活动供应商插入 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6"/>
        </w:numPr>
        <w:ind w:firstLine="480"/>
        <w:shd w:val="clear" w:color="ffffff" w:fill="ffff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各</w:t>
      </w:r>
      <w:r>
        <w:rPr>
          <w:rFonts w:hint="eastAsia" w:ascii="宋体" w:hAnsi="宋体" w:cs="宋体"/>
          <w:sz w:val="24"/>
          <w:lang w:eastAsia="zh-CN"/>
        </w:rPr>
        <w:t xml:space="preserve">供应商</w:t>
      </w:r>
      <w:r>
        <w:rPr>
          <w:rFonts w:hint="eastAsia" w:ascii="宋体" w:hAnsi="宋体" w:cs="宋体"/>
          <w:sz w:val="24"/>
        </w:rPr>
        <w:t xml:space="preserve">在投标截止时间前应当每天都上网查询，以便获 取更新的澄清、修改、补充内容。凡涉及到该项目的补充说明和 修改，均以中国政府采购网、江苏政府采购网、盐城市政府采购网上的更正或补充通知为准。</w:t>
      </w:r>
      <w:r/>
    </w:p>
    <w:p>
      <w:pPr>
        <w:numPr>
          <w:ilvl w:val="0"/>
          <w:numId w:val="6"/>
        </w:numPr>
        <w:ind w:left="0" w:firstLine="480"/>
        <w:shd w:val="clear" w:color="ffffff" w:fill="ffff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供应商</w:t>
      </w:r>
      <w:r>
        <w:rPr>
          <w:rFonts w:hint="eastAsia" w:ascii="宋体" w:hAnsi="宋体" w:cs="宋体"/>
          <w:sz w:val="24"/>
        </w:rPr>
        <w:t xml:space="preserve">不得提供虚假材料谋取中标成交的或采取不正当手段诋毁、排挤其 他供应商。</w:t>
      </w:r>
      <w:r/>
    </w:p>
    <w:p>
      <w:pPr>
        <w:numPr>
          <w:ilvl w:val="0"/>
          <w:numId w:val="6"/>
        </w:numPr>
        <w:ind w:left="0" w:firstLine="480"/>
        <w:shd w:val="clear" w:color="ffffff" w:fill="ffff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供应商</w:t>
      </w:r>
      <w:r>
        <w:rPr>
          <w:rFonts w:hint="eastAsia" w:ascii="宋体" w:hAnsi="宋体" w:cs="宋体"/>
          <w:sz w:val="24"/>
        </w:rPr>
        <w:t xml:space="preserve">存在串通投标、以他人名义投标、弄虚作假等违法违规行为，或者 无正当理由放弃投标、中标资格，造成项目招标失败的，不得参加该项目重新招 标的投标。</w:t>
      </w:r>
      <w:r/>
    </w:p>
    <w:p>
      <w:pPr>
        <w:numPr>
          <w:ilvl w:val="0"/>
          <w:numId w:val="0"/>
        </w:numPr>
        <w:ind w:firstLine="480"/>
        <w:shd w:val="clear" w:color="ffffff" w:fill="ffff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、因供应商的系统环境、操作等原因导致项目参与、开评标过程中出现问题 由供应商自行承担负责。</w:t>
      </w:r>
      <w:r/>
    </w:p>
    <w:p>
      <w:pPr>
        <w:ind w:firstLine="482"/>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7、本次招标不收取磋商保证金。</w:t>
      </w:r>
      <w:r/>
    </w:p>
    <w:p>
      <w:pPr>
        <w:ind w:firstLine="482"/>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8、本次项目收取履约保证金：</w:t>
      </w:r>
      <w:r>
        <w:rPr>
          <w:rFonts w:ascii="宋体" w:hAnsi="宋体" w:cs="宋体"/>
          <w:color w:val="000000"/>
          <w:sz w:val="24"/>
          <w:u w:val="single"/>
        </w:rPr>
        <w:t xml:space="preserve">中标金额的 10%</w:t>
      </w:r>
      <w:r>
        <w:rPr>
          <w:rFonts w:ascii="宋体" w:hAnsi="宋体" w:cs="宋体"/>
          <w:color w:val="000000"/>
          <w:sz w:val="24"/>
        </w:rPr>
        <w:t xml:space="preserve">，收取履约保证金形式:供应商应当以支票、汇票、本票或者金融机构、担保机构出具的保函等非现金形式提交履约保证金。</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9、本项目公告在《中国政府采购网》、《江苏政府采购网》、《盐城市政府采购网》公示发布，敬请各供应商关注。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10、本项目支持节能环保产品(财库[2019]9号)、(财库[</w:t>
      </w:r>
      <w:r>
        <w:rPr>
          <w:rFonts w:ascii="宋体" w:hAnsi="宋体" w:cs="宋体"/>
          <w:color w:val="000000"/>
          <w:sz w:val="24"/>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ind w:firstLine="499"/>
        <w:keepLines/>
        <w:keepNext/>
        <w:spacing w:before="145" w:after="145"/>
        <w:rPr>
          <w:rFonts w:ascii="宋体" w:hAnsi="宋体" w:cs="宋体"/>
          <w:color w:val="000000"/>
          <w:sz w:val="24"/>
        </w:rPr>
        <w:outlineLvl w:val="2"/>
      </w:pPr>
      <w:r>
        <w:rPr>
          <w:rFonts w:ascii="宋体" w:hAnsi="宋体" w:cs="宋体"/>
          <w:color w:val="000000"/>
          <w:sz w:val="24"/>
        </w:rPr>
        <w:t xml:space="preserve">11、根据《关于在政府采购活动中应用第三方信用报告落实“信易购”应用场景的通知》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bookmarkEnd w:id="41"/>
      <w:r/>
      <w:r/>
    </w:p>
    <w:p>
      <w:pPr>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12、</w:t>
      </w:r>
      <w:r>
        <w:rPr>
          <w:rFonts w:hint="default" w:ascii="宋体" w:hAnsi="宋体" w:eastAsia="宋体" w:cs="宋体"/>
          <w:sz w:val="24"/>
          <w:lang w:val="en-US" w:eastAsia="zh-CN"/>
        </w:rPr>
        <w:t xml:space="preserve">政府采购异常低价审查的</w:t>
      </w:r>
      <w:r>
        <w:rPr>
          <w:rFonts w:hint="eastAsia" w:ascii="宋体" w:hAnsi="宋体" w:eastAsia="宋体" w:cs="宋体"/>
          <w:sz w:val="24"/>
          <w:lang w:val="en-US" w:eastAsia="zh-CN"/>
        </w:rPr>
        <w:t xml:space="preserve">实施</w:t>
      </w:r>
      <w:r/>
    </w:p>
    <w:p>
      <w:pPr>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12.1.</w:t>
      </w:r>
      <w:r>
        <w:rPr>
          <w:rFonts w:hint="default" w:ascii="宋体" w:hAnsi="宋体" w:eastAsia="宋体" w:cs="宋体"/>
          <w:sz w:val="24"/>
          <w:lang w:val="en-US" w:eastAsia="zh-CN"/>
        </w:rPr>
        <w:t xml:space="preserve">评审过程中出现下列情形之一的，</w:t>
      </w:r>
      <w:r>
        <w:rPr>
          <w:rFonts w:hint="eastAsia" w:ascii="宋体" w:hAnsi="宋体" w:eastAsia="宋体" w:cs="宋体"/>
          <w:sz w:val="24"/>
          <w:lang w:val="en-US" w:eastAsia="zh-CN"/>
        </w:rPr>
        <w:t xml:space="preserve">磋商小组</w:t>
      </w:r>
      <w:r>
        <w:rPr>
          <w:rFonts w:hint="default" w:ascii="宋体" w:hAnsi="宋体" w:eastAsia="宋体" w:cs="宋体"/>
          <w:sz w:val="24"/>
          <w:lang w:val="en-US" w:eastAsia="zh-CN"/>
        </w:rPr>
        <w:t xml:space="preserve">应当启动异常低价投标（响应）审查程序： </w:t>
      </w:r>
      <w:r/>
    </w:p>
    <w:p>
      <w:pPr>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w:t>
      </w:r>
      <w:r>
        <w:rPr>
          <w:rFonts w:hint="default" w:ascii="宋体" w:hAnsi="宋体" w:eastAsia="宋体" w:cs="宋体"/>
          <w:sz w:val="24"/>
          <w:lang w:val="en-US" w:eastAsia="zh-CN"/>
        </w:rPr>
        <w:t xml:space="preserve">投标（响应）报价低于采购项目预算50%的，即投标（响应）报价&lt;采购项目预算×50%； </w:t>
      </w:r>
      <w:r/>
    </w:p>
    <w:p>
      <w:pPr>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（2）</w:t>
      </w:r>
      <w:r>
        <w:rPr>
          <w:rFonts w:hint="default" w:ascii="宋体" w:hAnsi="宋体" w:eastAsia="宋体" w:cs="宋体"/>
          <w:sz w:val="24"/>
          <w:lang w:val="en-US" w:eastAsia="zh-CN"/>
        </w:rPr>
        <w:t xml:space="preserve">投标（响应）报价低于采购项目最高限价45%的，即投标（响应）报价&lt;采购项目最高限价×45%； </w:t>
      </w:r>
      <w:r/>
    </w:p>
    <w:p>
      <w:pPr>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（3）</w:t>
      </w:r>
      <w:r>
        <w:rPr>
          <w:rFonts w:hint="default" w:ascii="宋体" w:hAnsi="宋体" w:eastAsia="宋体" w:cs="宋体"/>
          <w:sz w:val="24"/>
          <w:lang w:val="en-US" w:eastAsia="zh-CN"/>
        </w:rPr>
        <w:t xml:space="preserve">评审委员会认定的供应商报价过低、有可能影响产品质量或者不能诚信履约的其他情形。 </w:t>
      </w:r>
      <w:r/>
    </w:p>
    <w:p>
      <w:pPr>
        <w:ind w:firstLine="480"/>
        <w:shd w:val="clear" w:color="ffffff" w:fill="ffffff"/>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12.2.</w:t>
      </w:r>
      <w:r>
        <w:rPr>
          <w:rFonts w:hint="default" w:ascii="宋体" w:hAnsi="宋体" w:eastAsia="宋体" w:cs="宋体"/>
          <w:sz w:val="24"/>
          <w:lang w:val="en-US" w:eastAsia="zh-CN"/>
        </w:rPr>
        <w:t xml:space="preserve">启动异常低价投标（响应）审查后，</w:t>
      </w:r>
      <w:r>
        <w:rPr>
          <w:rFonts w:hint="eastAsia" w:ascii="宋体" w:hAnsi="宋体" w:eastAsia="宋体" w:cs="宋体"/>
          <w:sz w:val="24"/>
          <w:lang w:val="en-US" w:eastAsia="zh-CN"/>
        </w:rPr>
        <w:t xml:space="preserve">磋商小组</w:t>
      </w:r>
      <w:r>
        <w:rPr>
          <w:rFonts w:hint="default" w:ascii="宋体" w:hAnsi="宋体" w:eastAsia="宋体" w:cs="宋体"/>
          <w:sz w:val="24"/>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sz w:val="24"/>
          <w:lang w:val="en-US" w:eastAsia="zh-CN"/>
        </w:rPr>
        <w:t xml:space="preserve">磋商小组</w:t>
      </w:r>
      <w:r>
        <w:rPr>
          <w:rFonts w:hint="default" w:ascii="宋体" w:hAnsi="宋体" w:eastAsia="宋体" w:cs="宋体"/>
          <w:sz w:val="24"/>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宋体"/>
          <w:sz w:val="24"/>
          <w:lang w:val="en-US" w:eastAsia="zh-CN"/>
        </w:rPr>
        <w:t xml:space="preserve">磋商小组</w:t>
      </w:r>
      <w:r>
        <w:rPr>
          <w:rFonts w:hint="default" w:ascii="宋体" w:hAnsi="宋体" w:eastAsia="宋体" w:cs="宋体"/>
          <w:sz w:val="24"/>
          <w:lang w:val="en-US" w:eastAsia="zh-CN"/>
        </w:rPr>
        <w:t xml:space="preserve">应当将其作为无效投标（响应）处理。审查相关情况应当在评审报告中进行记录；</w:t>
      </w:r>
      <w:r/>
    </w:p>
    <w:p>
      <w:pPr>
        <w:ind w:firstLine="480"/>
        <w:shd w:val="clear" w:color="ffffff" w:fill="ffffff"/>
        <w:rPr>
          <w:rFonts w:hint="eastAsia" w:ascii="Times New Roman" w:hAnsi="Times New Roman"/>
          <w:b/>
          <w:bCs/>
          <w:sz w:val="32"/>
          <w:szCs w:val="32"/>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highlight w:val="none"/>
          <w:lang w:val="en-US" w:eastAsia="zh-CN"/>
        </w:rPr>
        <w:t xml:space="preserve">13、已承接分包二、三、四及</w:t>
      </w:r>
      <w:r>
        <w:rPr>
          <w:rFonts w:hint="default" w:ascii="宋体" w:hAnsi="宋体" w:eastAsia="宋体" w:cs="宋体"/>
          <w:sz w:val="24"/>
          <w:highlight w:val="none"/>
          <w:lang w:val="en-US" w:eastAsia="zh-CN"/>
        </w:rPr>
        <w:t xml:space="preserve">县级智慧养老服务平台运营商</w:t>
      </w:r>
      <w:r>
        <w:rPr>
          <w:rFonts w:hint="default" w:ascii="宋体" w:hAnsi="宋体" w:eastAsia="宋体" w:cs="宋体"/>
          <w:sz w:val="24"/>
          <w:highlight w:val="none"/>
          <w:lang w:val="en-US" w:eastAsia="zh-CN"/>
        </w:rPr>
        <w:t xml:space="preserve">不得参与本次项目。</w:t>
      </w:r>
      <w:r>
        <w:rPr>
          <w:rFonts w:hint="default" w:ascii="宋体" w:hAnsi="宋体" w:eastAsia="宋体" w:cs="宋体"/>
          <w:sz w:val="24"/>
          <w:highlight w:val="none"/>
          <w:lang w:val="en-US" w:eastAsia="zh-CN"/>
        </w:rPr>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lang w:eastAsia="zh-CN"/>
        </w:rPr>
        <w:t xml:space="preserve">八</w:t>
      </w:r>
      <w:r>
        <w:rPr>
          <w:rFonts w:hint="eastAsia" w:ascii="Times New Roman" w:hAnsi="Times New Roman"/>
          <w:b/>
          <w:bCs/>
          <w:sz w:val="32"/>
          <w:szCs w:val="32"/>
        </w:rPr>
        <w:t xml:space="preserve">、本次磋商联系方式</w:t>
      </w:r>
      <w:bookmarkEnd w:id="33"/>
      <w:r/>
      <w:bookmarkEnd w:id="34"/>
      <w:r/>
      <w:bookmarkEnd w:id="35"/>
      <w:r/>
      <w:bookmarkEnd w:id="36"/>
      <w:r/>
      <w:bookmarkEnd w:id="37"/>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sdt>
        <w:sdtPr>
          <w:alias w:val="6"/>
          <w15:appearance w15:val="hidden"/>
          <w:id w:val="6"/>
          <w:lock w:val="sdtContentLocked"/>
          <w:tag w:val="采购单位名称"/>
          <w:rPr>
            <w:rFonts w:hint="eastAsia" w:ascii="宋体" w:hAnsi="宋体"/>
            <w:sz w:val="24"/>
            <w:szCs w:val="24"/>
          </w:rPr>
        </w:sdtPr>
        <w:sdtContent>
          <w:r>
            <w:rPr>
              <w:rFonts w:hint="default" w:ascii="经典仿宋简" w:hAnsi="经典仿宋简" w:eastAsia="经典仿宋简" w:cs="经典仿宋简"/>
              <w:sz w:val="22"/>
            </w:rPr>
            <w:t xml:space="preserve">响水县民政局（机关）</w:t>
          </w:r>
        </w:sdtContent>
      </w:sd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sdt>
        <w:sdtPr>
          <w:alias w:val="13"/>
          <w15:appearance w15:val="hidden"/>
          <w:id w:val="13"/>
          <w:lock w:val="sdtContentLocked"/>
          <w:tag w:val="采购单位地址"/>
          <w:rPr>
            <w:rFonts w:ascii="宋体" w:hAnsi="宋体"/>
            <w:sz w:val="24"/>
            <w:szCs w:val="24"/>
          </w:rPr>
        </w:sdtPr>
        <w:sdtContent>
          <w:r>
            <w:rPr>
              <w:rFonts w:hint="default" w:ascii="经典仿宋简" w:hAnsi="经典仿宋简" w:eastAsia="经典仿宋简" w:cs="经典仿宋简"/>
              <w:sz w:val="22"/>
            </w:rPr>
            <w:t xml:space="preserve">响水县双园路33号</w:t>
          </w:r>
        </w:sdtContent>
      </w:sd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sdt>
        <w:sdtPr>
          <w:alias w:val="14"/>
          <w15:appearance w15:val="hidden"/>
          <w:id w:val="14"/>
          <w:lock w:val="sdtContentLocked"/>
          <w:tag w:val="采购人联系人"/>
          <w:rPr>
            <w:rFonts w:hint="eastAsia" w:ascii="宋体" w:hAnsi="宋体"/>
            <w:sz w:val="24"/>
            <w:szCs w:val="24"/>
          </w:rPr>
        </w:sdtPr>
        <w:sdtContent>
          <w:r>
            <w:rPr>
              <w:rFonts w:hint="default" w:ascii="经典仿宋简" w:hAnsi="经典仿宋简" w:eastAsia="经典仿宋简" w:cs="经典仿宋简"/>
              <w:sz w:val="22"/>
            </w:rPr>
            <w:t xml:space="preserve">游常军</w:t>
          </w:r>
        </w:sdtContent>
      </w:sd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sdt>
        <w:sdtPr>
          <w:alias w:val="15"/>
          <w15:appearance w15:val="hidden"/>
          <w:id w:val="15"/>
          <w:lock w:val="sdtContentLocked"/>
          <w:tag w:val="采购人联系电话"/>
          <w:rPr>
            <w:rFonts w:hint="eastAsia" w:ascii="宋体" w:hAnsi="宋体"/>
            <w:sz w:val="24"/>
            <w:szCs w:val="24"/>
          </w:rPr>
        </w:sdtPr>
        <w:sdtContent>
          <w:r>
            <w:rPr>
              <w:rFonts w:hint="default" w:ascii="经典仿宋简" w:hAnsi="经典仿宋简" w:eastAsia="经典仿宋简" w:cs="经典仿宋简"/>
              <w:sz w:val="22"/>
            </w:rPr>
            <w:t xml:space="preserve">采购包1联系人电话:051587061616</w:t>
          </w:r>
        </w:sdtContent>
      </w:sdt>
      <w:r/>
      <w:bookmarkStart w:id="42" w:name="_Toc28359009"/>
      <w:r/>
      <w:bookmarkStart w:id="43" w:name="_Toc28359086"/>
      <w:r/>
      <w:r/>
    </w:p>
    <w:p>
      <w:pPr>
        <w:ind w:left="1079" w:hanging="30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42"/>
      <w:r/>
      <w:bookmarkEnd w:id="43"/>
      <w:r/>
      <w:r/>
    </w:p>
    <w:p>
      <w:pPr>
        <w:ind w:firstLine="720"/>
        <w:spacing w:line="360" w:lineRule="auto"/>
        <w:rPr>
          <w:rFonts w:ascii="宋体" w:hAnsi="宋体"/>
          <w:sz w:val="24"/>
          <w:szCs w:val="24"/>
        </w:rPr>
      </w:pPr>
      <w:r>
        <w:rPr>
          <w:rFonts w:hint="eastAsia" w:ascii="宋体" w:hAnsi="宋体"/>
          <w:sz w:val="24"/>
          <w:szCs w:val="24"/>
        </w:rPr>
        <w:t xml:space="preserve">地　址：</w:t>
      </w:r>
      <w:sdt>
        <w:sdtPr>
          <w:alias w:val="16"/>
          <w15:appearance w15:val="hidden"/>
          <w:id w:val="16"/>
          <w:lock w:val="sdtContentLocked"/>
          <w:tag w:val="代理机构联系地址"/>
          <w:rPr>
            <w:rFonts w:ascii="宋体" w:hAnsi="宋体"/>
            <w:sz w:val="24"/>
            <w:szCs w:val="24"/>
          </w:rPr>
        </w:sdtPr>
        <w:sdtContent>
          <w:r>
            <w:rPr>
              <w:rFonts w:hint="default" w:ascii="经典仿宋简" w:hAnsi="经典仿宋简" w:eastAsia="经典仿宋简" w:cs="经典仿宋简"/>
              <w:sz w:val="22"/>
            </w:rPr>
            <w:t xml:space="preserve">响水县欧亚新城商业街114号</w:t>
          </w:r>
        </w:sdtContent>
      </w:sdt>
      <w:r/>
      <w:r/>
    </w:p>
    <w:p>
      <w:pPr>
        <w:ind w:firstLine="720"/>
        <w:spacing w:line="360" w:lineRule="auto"/>
        <w:rPr>
          <w:rFonts w:ascii="宋体" w:hAnsi="宋体"/>
          <w:sz w:val="24"/>
          <w:szCs w:val="24"/>
        </w:rPr>
      </w:pPr>
      <w:r>
        <w:rPr>
          <w:rFonts w:hint="eastAsia" w:ascii="宋体" w:hAnsi="宋体"/>
          <w:sz w:val="24"/>
          <w:szCs w:val="24"/>
        </w:rPr>
        <w:t xml:space="preserve">联系人：</w:t>
      </w:r>
      <w:sdt>
        <w:sdtPr>
          <w:alias w:val="17"/>
          <w15:appearance w15:val="hidden"/>
          <w:id w:val="17"/>
          <w:lock w:val="sdtContentLocked"/>
          <w:tag w:val="代理机构经办人"/>
          <w:rPr>
            <w:rFonts w:hint="eastAsia" w:ascii="宋体" w:hAnsi="宋体"/>
            <w:sz w:val="24"/>
            <w:szCs w:val="24"/>
            <w:u w:val="single"/>
          </w:rPr>
        </w:sdtPr>
        <w:sdtContent>
          <w:r>
            <w:rPr>
              <w:rFonts w:hint="default" w:ascii="经典仿宋简" w:hAnsi="经典仿宋简" w:eastAsia="经典仿宋简" w:cs="经典仿宋简"/>
              <w:sz w:val="22"/>
            </w:rPr>
            <w:t xml:space="preserve">张笑</w:t>
          </w:r>
        </w:sdtContent>
      </w:sdt>
      <w:r/>
      <w:r/>
    </w:p>
    <w:p>
      <w:pPr>
        <w:ind w:firstLine="720"/>
        <w:spacing w:line="360" w:lineRule="auto"/>
        <w:rPr>
          <w:rFonts w:hint="eastAsia" w:ascii="宋体" w:hAnsi="宋体"/>
          <w:sz w:val="24"/>
          <w:szCs w:val="24"/>
        </w:rPr>
      </w:pPr>
      <w:r>
        <w:rPr>
          <w:rFonts w:hint="eastAsia" w:ascii="宋体" w:hAnsi="宋体"/>
          <w:sz w:val="24"/>
          <w:szCs w:val="24"/>
        </w:rPr>
        <w:t xml:space="preserve">联系方式：</w:t>
      </w:r>
      <w:sdt>
        <w:sdtPr>
          <w:alias w:val="18"/>
          <w15:appearance w15:val="hidden"/>
          <w:id w:val="18"/>
          <w:lock w:val="sdtContentLocked"/>
          <w:tag w:val="代理机构经办人联系电话"/>
          <w:rPr>
            <w:rFonts w:hint="eastAsia" w:ascii="宋体" w:hAnsi="宋体"/>
            <w:sz w:val="24"/>
            <w:szCs w:val="24"/>
          </w:rPr>
        </w:sdtPr>
        <w:sdtContent>
          <w:r>
            <w:rPr>
              <w:rFonts w:hint="default" w:ascii="经典仿宋简" w:hAnsi="经典仿宋简" w:eastAsia="经典仿宋简" w:cs="经典仿宋简"/>
              <w:sz w:val="22"/>
            </w:rPr>
            <w:t xml:space="preserve">18912599025</w:t>
          </w:r>
        </w:sdtContent>
      </w:sdt>
      <w:r/>
      <w:bookmarkEnd w:id="1"/>
      <w:r/>
      <w:bookmarkEnd w:id="2"/>
      <w:r/>
      <w:bookmarkEnd w:id="3"/>
      <w:r/>
      <w:bookmarkEnd w:id="4"/>
      <w:r/>
      <w:bookmarkEnd w:id="5"/>
      <w:r/>
      <w:r/>
    </w:p>
    <w:p>
      <w:pPr>
        <w:jc w:val="center"/>
        <w:keepLines/>
        <w:keepNext/>
        <w:spacing w:before="260" w:after="260" w:line="416" w:lineRule="auto"/>
        <w:rPr>
          <w:rFonts w:hint="eastAsia" w:ascii="黑体" w:hAnsi="Arial" w:eastAsia="黑体" w:cs="Arial"/>
          <w:sz w:val="44"/>
          <w:szCs w:val="44"/>
        </w:rPr>
        <w:outlineLvl w:val="1"/>
      </w:pPr>
      <w:r/>
      <w:bookmarkStart w:id="44" w:name="_Toc120614211"/>
      <w:r/>
      <w:bookmarkStart w:id="45" w:name="_Toc479757207"/>
      <w:r/>
      <w:bookmarkStart w:id="46" w:name="_Toc513029242"/>
      <w:r/>
      <w:bookmarkStart w:id="47" w:name="_Toc16938558"/>
      <w:r/>
      <w:bookmarkStart w:id="48" w:name="_Toc120614221"/>
      <w:r/>
      <w:bookmarkStart w:id="49" w:name="_Toc20823314"/>
      <w:r>
        <w:rPr>
          <w:rFonts w:hint="eastAsia" w:ascii="黑体" w:hAnsi="Arial" w:eastAsia="黑体" w:cs="Arial"/>
          <w:b/>
          <w:bCs/>
          <w:sz w:val="44"/>
          <w:szCs w:val="44"/>
        </w:rPr>
        <w:t xml:space="preserve">第二章  </w:t>
      </w:r>
      <w:bookmarkEnd w:id="44"/>
      <w:r>
        <w:rPr>
          <w:rFonts w:hint="eastAsia" w:ascii="黑体" w:hAnsi="Arial" w:eastAsia="黑体" w:cs="Arial"/>
          <w:b/>
          <w:bCs/>
          <w:sz w:val="44"/>
          <w:szCs w:val="44"/>
        </w:rPr>
        <w:t xml:space="preserve">供应商须知</w:t>
      </w:r>
      <w:r/>
    </w:p>
    <w:p>
      <w:pPr>
        <w:ind w:firstLine="498"/>
        <w:keepLines/>
        <w:keepNext/>
        <w:spacing w:before="145" w:after="145" w:line="360" w:lineRule="auto"/>
        <w:rPr>
          <w:rFonts w:ascii="Times New Roman" w:hAnsi="Times New Roman"/>
          <w:b/>
          <w:bCs/>
          <w:sz w:val="32"/>
          <w:szCs w:val="32"/>
        </w:rPr>
        <w:outlineLvl w:val="2"/>
      </w:pPr>
      <w:r/>
      <w:bookmarkStart w:id="50" w:name="_Toc513029203"/>
      <w:r/>
      <w:bookmarkStart w:id="51" w:name="_Toc16938519"/>
      <w:r/>
      <w:bookmarkStart w:id="52" w:name="_Toc20823275"/>
      <w:r/>
      <w:bookmarkStart w:id="53" w:name="_Toc120614214"/>
      <w:r>
        <w:rPr>
          <w:rFonts w:hint="eastAsia" w:ascii="Times New Roman" w:hAnsi="Times New Roman"/>
          <w:b/>
          <w:bCs/>
          <w:sz w:val="32"/>
          <w:szCs w:val="32"/>
        </w:rPr>
        <w:t xml:space="preserve">一、总则</w:t>
      </w:r>
      <w:bookmarkEnd w:id="50"/>
      <w:r/>
      <w:bookmarkEnd w:id="51"/>
      <w:r/>
      <w:bookmarkEnd w:id="52"/>
      <w:r/>
      <w:bookmarkEnd w:id="53"/>
      <w:r/>
      <w:r/>
    </w:p>
    <w:p>
      <w:pPr>
        <w:ind w:firstLine="420"/>
        <w:keepLines/>
        <w:keepNext/>
        <w:rPr>
          <w:rFonts w:ascii="Arial" w:hAnsi="Arial" w:eastAsia="黑体" w:cs="Arial"/>
          <w:sz w:val="28"/>
          <w:szCs w:val="28"/>
        </w:rPr>
        <w:outlineLvl w:val="3"/>
      </w:pPr>
      <w:r/>
      <w:bookmarkStart w:id="54" w:name="_Hlt16619475"/>
      <w:r/>
      <w:bookmarkEnd w:id="54"/>
      <w:r/>
      <w:bookmarkStart w:id="55" w:name="_Toc458694821"/>
      <w:r/>
      <w:bookmarkStart w:id="56" w:name="_Toc513029204"/>
      <w:r/>
      <w:bookmarkStart w:id="57" w:name="_Toc20823276"/>
      <w:r/>
      <w:bookmarkStart w:id="58" w:name="_Toc16938520"/>
      <w:r>
        <w:rPr>
          <w:rFonts w:hint="eastAsia" w:ascii="Arial" w:hAnsi="Arial" w:eastAsia="黑体" w:cs="Arial"/>
          <w:sz w:val="28"/>
          <w:szCs w:val="28"/>
        </w:rPr>
        <w:t xml:space="preserve">1</w:t>
      </w:r>
      <w:bookmarkEnd w:id="55"/>
      <w:r>
        <w:rPr>
          <w:rFonts w:hint="eastAsia" w:ascii="Arial" w:hAnsi="Arial" w:eastAsia="黑体" w:cs="Arial"/>
          <w:sz w:val="28"/>
          <w:szCs w:val="28"/>
        </w:rPr>
        <w:t xml:space="preserve">、采购方式</w:t>
      </w:r>
      <w:bookmarkEnd w:id="56"/>
      <w:r/>
      <w:bookmarkEnd w:id="57"/>
      <w:r/>
      <w:bookmarkEnd w:id="58"/>
      <w:r/>
      <w:r/>
    </w:p>
    <w:p>
      <w:pPr>
        <w:ind w:firstLine="480"/>
        <w:spacing w:line="500" w:lineRule="exact"/>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rPr>
          <w:rFonts w:ascii="Arial" w:hAnsi="Arial" w:eastAsia="黑体" w:cs="Arial"/>
          <w:sz w:val="28"/>
          <w:szCs w:val="28"/>
        </w:rPr>
        <w:outlineLvl w:val="3"/>
      </w:pPr>
      <w:r/>
      <w:bookmarkStart w:id="59" w:name="_Toc513029205"/>
      <w:r/>
      <w:bookmarkStart w:id="60" w:name="_Toc16938521"/>
      <w:r/>
      <w:bookmarkStart w:id="61" w:name="_Toc20823277"/>
      <w:r>
        <w:rPr>
          <w:rFonts w:hint="eastAsia" w:ascii="Arial" w:hAnsi="Arial" w:eastAsia="黑体" w:cs="Arial"/>
          <w:sz w:val="28"/>
          <w:szCs w:val="28"/>
        </w:rPr>
        <w:t xml:space="preserve">2、合格的</w:t>
      </w:r>
      <w:bookmarkEnd w:id="59"/>
      <w:r/>
      <w:bookmarkEnd w:id="60"/>
      <w:r/>
      <w:bookmarkEnd w:id="61"/>
      <w:r>
        <w:rPr>
          <w:rFonts w:hint="eastAsia" w:ascii="Arial" w:hAnsi="Arial" w:eastAsia="黑体" w:cs="Arial"/>
          <w:sz w:val="28"/>
          <w:szCs w:val="28"/>
        </w:rPr>
        <w:t xml:space="preserve">供应商</w:t>
      </w:r>
      <w:r/>
    </w:p>
    <w:p>
      <w:pPr>
        <w:ind w:firstLine="480"/>
        <w:spacing w:line="400" w:lineRule="exact"/>
        <w:rPr>
          <w:rFonts w:ascii="宋体" w:hAnsi="宋体"/>
          <w:sz w:val="24"/>
          <w:szCs w:val="24"/>
        </w:rPr>
      </w:pPr>
      <w:r>
        <w:rPr>
          <w:rFonts w:hint="eastAsia" w:ascii="宋体" w:hAnsi="宋体"/>
          <w:sz w:val="24"/>
          <w:szCs w:val="24"/>
        </w:rPr>
        <w:t xml:space="preserve">2.1满足磋商公告中供应商资格要求的规定。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满足本磋商文件实质性要求和条件的规定。</w:t>
      </w:r>
      <w:r/>
    </w:p>
    <w:p>
      <w:pPr>
        <w:ind w:firstLine="420"/>
        <w:keepLines/>
        <w:keepNext/>
        <w:rPr>
          <w:rFonts w:ascii="Arial" w:hAnsi="Arial" w:eastAsia="黑体" w:cs="Arial"/>
          <w:sz w:val="28"/>
          <w:szCs w:val="28"/>
        </w:rPr>
        <w:outlineLvl w:val="3"/>
      </w:pPr>
      <w:r/>
      <w:bookmarkStart w:id="62" w:name="_Toc513029206"/>
      <w:r/>
      <w:bookmarkStart w:id="63" w:name="_Toc16938522"/>
      <w:r/>
      <w:bookmarkStart w:id="64" w:name="_Toc20823278"/>
      <w:r>
        <w:rPr>
          <w:rFonts w:hint="eastAsia" w:ascii="Arial" w:hAnsi="Arial" w:eastAsia="黑体" w:cs="Arial"/>
          <w:sz w:val="28"/>
          <w:szCs w:val="28"/>
        </w:rPr>
        <w:t xml:space="preserve">3、适用法律</w:t>
      </w:r>
      <w:bookmarkEnd w:id="62"/>
      <w:r/>
      <w:bookmarkEnd w:id="63"/>
      <w:r/>
      <w:bookmarkEnd w:id="64"/>
      <w:r/>
      <w:r/>
    </w:p>
    <w:p>
      <w:pPr>
        <w:ind w:firstLine="420"/>
        <w:spacing w:line="40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ind w:firstLine="420"/>
        <w:keepLines/>
        <w:keepNext/>
        <w:rPr>
          <w:rFonts w:ascii="Arial" w:hAnsi="Arial" w:eastAsia="黑体" w:cs="Arial"/>
          <w:sz w:val="28"/>
          <w:szCs w:val="28"/>
        </w:rPr>
        <w:outlineLvl w:val="3"/>
      </w:pPr>
      <w:r/>
      <w:bookmarkStart w:id="65" w:name="_Toc16938523"/>
      <w:r/>
      <w:bookmarkStart w:id="66" w:name="_Toc462564067"/>
      <w:r/>
      <w:bookmarkStart w:id="67" w:name="_Toc20823279"/>
      <w:r/>
      <w:bookmarkStart w:id="68" w:name="_Toc513029207"/>
      <w:r>
        <w:rPr>
          <w:rFonts w:hint="eastAsia" w:ascii="Arial" w:hAnsi="Arial" w:eastAsia="黑体" w:cs="Arial"/>
          <w:sz w:val="28"/>
          <w:szCs w:val="28"/>
        </w:rPr>
        <w:t xml:space="preserve">4、磋商费用</w:t>
      </w:r>
      <w:bookmarkEnd w:id="65"/>
      <w:r/>
      <w:bookmarkEnd w:id="66"/>
      <w:r/>
      <w:bookmarkEnd w:id="67"/>
      <w:r/>
      <w:bookmarkEnd w:id="68"/>
      <w:r/>
      <w:r/>
    </w:p>
    <w:p>
      <w:pPr>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供应商应自行承担所有与参加本次磋商有关的费用，无论磋商过程中的做法和结果如何，采购人及代理机构在任何情况下均无义务和责任承担这些费用。</w:t>
      </w:r>
      <w:r/>
    </w:p>
    <w:p>
      <w:pPr>
        <w:ind w:firstLine="301"/>
        <w:keepLines/>
        <w:keepNext/>
        <w:spacing w:line="480" w:lineRule="exact"/>
        <w:rPr>
          <w:rFonts w:ascii="宋体" w:hAnsi="宋体"/>
          <w:sz w:val="24"/>
        </w:rPr>
        <w:outlineLvl w:val="3"/>
      </w:pPr>
      <w:r>
        <w:rPr>
          <w:rFonts w:hint="eastAsia" w:ascii="宋体" w:hAnsi="宋体"/>
          <w:sz w:val="24"/>
          <w:szCs w:val="21"/>
        </w:rPr>
        <w:t xml:space="preserve">4</w:t>
      </w:r>
      <w:r>
        <w:rPr>
          <w:rFonts w:ascii="宋体" w:hAnsi="宋体"/>
          <w:sz w:val="24"/>
          <w:szCs w:val="21"/>
        </w:rPr>
        <w:t xml:space="preserve">.2</w:t>
      </w:r>
      <w:r>
        <w:rPr>
          <w:rFonts w:hint="eastAsia" w:ascii="宋体" w:hAnsi="宋体"/>
          <w:sz w:val="24"/>
        </w:rPr>
        <w:t xml:space="preserve">本项目实行委托招标，磋商代理费用采购人已列入项目预算，由成交单位领取通知书时支付，支付标准按苏招协【2</w:t>
      </w:r>
      <w:r>
        <w:rPr>
          <w:rFonts w:ascii="宋体" w:hAnsi="宋体"/>
          <w:sz w:val="24"/>
        </w:rPr>
        <w:t xml:space="preserve">022</w:t>
      </w:r>
      <w:r>
        <w:rPr>
          <w:rFonts w:hint="eastAsia" w:ascii="宋体" w:hAnsi="宋体"/>
          <w:sz w:val="24"/>
        </w:rPr>
        <w:t xml:space="preserve">】2号文执行收取，供应商在报价时须考虑此费用支出。</w:t>
      </w:r>
      <w:r/>
    </w:p>
    <w:p>
      <w:pPr>
        <w:ind w:firstLine="301"/>
        <w:keepLines/>
        <w:keepNext/>
        <w:spacing w:line="48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21"/>
        <w:keepLines/>
        <w:keepNext/>
        <w:spacing w:before="145" w:after="145" w:line="360" w:lineRule="auto"/>
        <w:rPr>
          <w:rFonts w:ascii="Times New Roman" w:hAnsi="Times New Roman"/>
          <w:b/>
          <w:bCs/>
          <w:sz w:val="32"/>
          <w:szCs w:val="32"/>
        </w:rPr>
        <w:outlineLvl w:val="2"/>
      </w:pPr>
      <w:r/>
      <w:bookmarkStart w:id="69" w:name="_Toc20823281"/>
      <w:r/>
      <w:bookmarkStart w:id="70" w:name="_Toc120614215"/>
      <w:r/>
      <w:bookmarkStart w:id="71" w:name="_Toc16938525"/>
      <w:r/>
      <w:bookmarkStart w:id="72" w:name="_Toc513029209"/>
      <w:r>
        <w:rPr>
          <w:rFonts w:hint="eastAsia" w:ascii="Times New Roman" w:hAnsi="Times New Roman"/>
          <w:b/>
          <w:bCs/>
          <w:sz w:val="32"/>
          <w:szCs w:val="32"/>
        </w:rPr>
        <w:t xml:space="preserve">二、</w:t>
      </w:r>
      <w:bookmarkEnd w:id="69"/>
      <w:r/>
      <w:bookmarkEnd w:id="70"/>
      <w:r/>
      <w:bookmarkEnd w:id="71"/>
      <w:r/>
      <w:bookmarkEnd w:id="72"/>
      <w:r>
        <w:rPr>
          <w:rFonts w:hint="eastAsia" w:ascii="Times New Roman" w:hAnsi="Times New Roman"/>
          <w:b/>
          <w:bCs/>
          <w:sz w:val="32"/>
          <w:szCs w:val="32"/>
        </w:rPr>
        <w:t xml:space="preserve">磋商文件</w:t>
      </w:r>
      <w:r/>
    </w:p>
    <w:p>
      <w:pPr>
        <w:ind w:firstLine="420"/>
        <w:keepLines/>
        <w:keepNext/>
        <w:rPr>
          <w:rFonts w:ascii="Arial" w:hAnsi="Arial" w:eastAsia="黑体" w:cs="Arial"/>
          <w:sz w:val="28"/>
          <w:szCs w:val="28"/>
        </w:rPr>
        <w:outlineLvl w:val="3"/>
      </w:pPr>
      <w:r/>
      <w:bookmarkStart w:id="73" w:name="_Toc20823282"/>
      <w:r/>
      <w:bookmarkStart w:id="74" w:name="_Toc16938526"/>
      <w:r/>
      <w:bookmarkStart w:id="75" w:name="_Toc513029210"/>
      <w:r>
        <w:rPr>
          <w:rFonts w:hint="eastAsia" w:ascii="Arial" w:hAnsi="Arial" w:eastAsia="黑体" w:cs="Arial"/>
          <w:sz w:val="28"/>
          <w:szCs w:val="28"/>
        </w:rPr>
        <w:t xml:space="preserve">6、磋商文件构成</w:t>
      </w:r>
      <w:bookmarkEnd w:id="73"/>
      <w:r/>
      <w:bookmarkEnd w:id="74"/>
      <w:r/>
      <w:bookmarkEnd w:id="75"/>
      <w:r/>
      <w:r/>
    </w:p>
    <w:p>
      <w:pPr>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400" w:lineRule="exact"/>
        <w:rPr>
          <w:rFonts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（2）供应商须知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rFonts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p>
    <w:p>
      <w:pPr>
        <w:ind w:firstLine="360"/>
        <w:spacing w:line="400" w:lineRule="exact"/>
        <w:rPr>
          <w:rFonts w:ascii="宋体" w:hAnsi="宋体"/>
          <w:sz w:val="24"/>
          <w:szCs w:val="24"/>
        </w:rPr>
      </w:pPr>
      <w:r>
        <w:rPr>
          <w:rFonts w:hint="eastAsia" w:ascii="宋体" w:hAnsi="宋体"/>
          <w:sz w:val="24"/>
          <w:szCs w:val="24"/>
        </w:rPr>
        <w:t xml:space="preserve">（6）响应文件格式</w:t>
      </w:r>
      <w:r/>
    </w:p>
    <w:p>
      <w:pPr>
        <w:ind w:firstLine="480"/>
        <w:spacing w:line="500" w:lineRule="exact"/>
        <w:rPr>
          <w:rFonts w:ascii="宋体" w:hAnsi="宋体"/>
          <w:sz w:val="24"/>
          <w:szCs w:val="21"/>
        </w:rPr>
      </w:pPr>
      <w:r>
        <w:rPr>
          <w:rFonts w:hint="eastAsia" w:ascii="宋体" w:hAnsi="宋体"/>
          <w:sz w:val="24"/>
          <w:szCs w:val="21"/>
        </w:rPr>
        <w:t xml:space="preserve">请仔细检查磋商文件是否齐全，如有缺漏请立即与代理机构联系解决。</w:t>
      </w:r>
      <w:r/>
    </w:p>
    <w:p>
      <w:pPr>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ascii="Arial" w:hAnsi="Arial" w:eastAsia="黑体" w:cs="Arial"/>
          <w:sz w:val="28"/>
          <w:szCs w:val="28"/>
        </w:rPr>
        <w:outlineLvl w:val="3"/>
      </w:pPr>
      <w:r/>
      <w:bookmarkStart w:id="76" w:name="_Toc16938527"/>
      <w:r/>
      <w:bookmarkStart w:id="77" w:name="_Toc513029211"/>
      <w:r/>
      <w:bookmarkStart w:id="78" w:name="_Toc20823283"/>
      <w:r/>
      <w:bookmarkStart w:id="79" w:name="_Toc462564070"/>
      <w:r>
        <w:rPr>
          <w:rFonts w:hint="eastAsia" w:ascii="Arial" w:hAnsi="Arial" w:eastAsia="黑体" w:cs="Arial"/>
          <w:sz w:val="28"/>
          <w:szCs w:val="28"/>
        </w:rPr>
        <w:t xml:space="preserve">7、磋商文件的澄清</w:t>
      </w:r>
      <w:bookmarkEnd w:id="76"/>
      <w:r/>
      <w:bookmarkEnd w:id="77"/>
      <w:r/>
      <w:bookmarkEnd w:id="78"/>
      <w:r/>
      <w:bookmarkEnd w:id="79"/>
      <w:r/>
      <w:r/>
    </w:p>
    <w:p>
      <w:pPr>
        <w:ind w:firstLine="480"/>
        <w:spacing w:line="48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按磋商公告中的通讯地址，以书面形式通知采购人及代理机构。</w:t>
      </w:r>
      <w:r/>
    </w:p>
    <w:p>
      <w:pPr>
        <w:ind w:firstLine="560"/>
        <w:keepLines/>
        <w:keepNext/>
        <w:rPr>
          <w:rFonts w:ascii="Arial" w:hAnsi="Arial" w:eastAsia="黑体" w:cs="Arial"/>
          <w:sz w:val="28"/>
          <w:szCs w:val="28"/>
        </w:rPr>
        <w:outlineLvl w:val="3"/>
      </w:pPr>
      <w:r/>
      <w:bookmarkStart w:id="80" w:name="_Toc513029212"/>
      <w:r/>
      <w:bookmarkStart w:id="81" w:name="_Toc462564071"/>
      <w:r/>
      <w:bookmarkStart w:id="82" w:name="_Toc20823284"/>
      <w:r/>
      <w:bookmarkStart w:id="83" w:name="_Toc16938528"/>
      <w:r>
        <w:rPr>
          <w:rFonts w:hint="eastAsia" w:ascii="Arial" w:hAnsi="Arial" w:eastAsia="黑体" w:cs="Arial"/>
          <w:sz w:val="28"/>
          <w:szCs w:val="28"/>
        </w:rPr>
        <w:t xml:space="preserve">8、磋商文件的澄清和修改</w:t>
      </w:r>
      <w:bookmarkEnd w:id="80"/>
      <w:r/>
      <w:bookmarkEnd w:id="81"/>
      <w:r/>
      <w:bookmarkEnd w:id="82"/>
      <w:r/>
      <w:bookmarkEnd w:id="83"/>
      <w:r/>
      <w:r/>
    </w:p>
    <w:p>
      <w:pPr>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，采购人可以对磋商文件进行澄清和修改,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人及代理机构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更正公告内容将作为磋商文件的组成部分，并对供应商具有约束力。不足5日的，采购人及代理机构将顺延提交首次响应文件截止时间。</w:t>
      </w:r>
      <w:r/>
    </w:p>
    <w:p>
      <w:pPr>
        <w:ind w:firstLine="480"/>
        <w:spacing w:line="500" w:lineRule="exact"/>
        <w:rPr>
          <w:rFonts w:ascii="宋体" w:hAnsi="宋体"/>
          <w:sz w:val="24"/>
          <w:szCs w:val="21"/>
        </w:rPr>
      </w:pPr>
      <w:r>
        <w:rPr>
          <w:rFonts w:hint="eastAsia" w:ascii="宋体" w:hAnsi="宋体"/>
          <w:sz w:val="24"/>
          <w:szCs w:val="21"/>
        </w:rPr>
        <w:t xml:space="preserve">8.2采购人可以视采购项目的具体情况，组织供应商进行现场考察或召开磋商前答疑会，但不单独或分别组织只有一个供应商参加的现场考察和答疑会。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ascii="Times New Roman" w:hAnsi="Times New Roman"/>
          <w:b/>
          <w:bCs/>
          <w:sz w:val="32"/>
          <w:szCs w:val="32"/>
        </w:rPr>
        <w:outlineLvl w:val="2"/>
      </w:pPr>
      <w:r/>
      <w:bookmarkStart w:id="84" w:name="_Toc16938529"/>
      <w:r/>
      <w:bookmarkStart w:id="85" w:name="_Toc120614216"/>
      <w:r/>
      <w:bookmarkStart w:id="86" w:name="_Toc20823285"/>
      <w:r/>
      <w:bookmarkStart w:id="87" w:name="_Toc462564072"/>
      <w:r/>
      <w:bookmarkStart w:id="88" w:name="_Toc513029213"/>
      <w:r>
        <w:rPr>
          <w:rFonts w:hint="eastAsia" w:ascii="Times New Roman" w:hAnsi="Times New Roman"/>
          <w:b/>
          <w:bCs/>
          <w:sz w:val="32"/>
          <w:szCs w:val="32"/>
        </w:rPr>
        <w:t xml:space="preserve">三、响应文件的编制</w:t>
      </w:r>
      <w:bookmarkEnd w:id="84"/>
      <w:r/>
      <w:bookmarkEnd w:id="85"/>
      <w:r/>
      <w:bookmarkEnd w:id="86"/>
      <w:r/>
      <w:bookmarkEnd w:id="87"/>
      <w:r/>
      <w:bookmarkEnd w:id="88"/>
      <w:r/>
      <w:r/>
    </w:p>
    <w:p>
      <w:pPr>
        <w:ind w:firstLine="560"/>
        <w:keepLines/>
        <w:keepNext/>
        <w:rPr>
          <w:rFonts w:ascii="Arial" w:hAnsi="Arial" w:eastAsia="黑体" w:cs="Arial"/>
          <w:b/>
          <w:sz w:val="28"/>
          <w:szCs w:val="28"/>
        </w:rPr>
        <w:outlineLvl w:val="3"/>
      </w:pPr>
      <w:r/>
      <w:bookmarkStart w:id="89" w:name="_Toc513029214"/>
      <w:r/>
      <w:bookmarkStart w:id="90" w:name="_Toc16938530"/>
      <w:r/>
      <w:bookmarkStart w:id="91" w:name="_Toc462564073"/>
      <w:r/>
      <w:bookmarkStart w:id="92" w:name="_Toc20823286"/>
      <w:r>
        <w:rPr>
          <w:rFonts w:hint="eastAsia" w:ascii="Arial" w:hAnsi="Arial" w:eastAsia="黑体" w:cs="Arial"/>
          <w:sz w:val="28"/>
          <w:szCs w:val="28"/>
        </w:rPr>
        <w:t xml:space="preserve">9、响应文件的语言及度量衡单位</w:t>
      </w:r>
      <w:bookmarkEnd w:id="89"/>
      <w:r/>
      <w:bookmarkEnd w:id="90"/>
      <w:r/>
      <w:bookmarkEnd w:id="91"/>
      <w:r/>
      <w:bookmarkEnd w:id="92"/>
      <w:r/>
      <w:r/>
    </w:p>
    <w:p>
      <w:pPr>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供应商提交的响应文件以及供应商与采购人及代理机构就有关磋商的所有来往通知、函件和文件均应使用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ascii="Arial" w:hAnsi="Arial" w:eastAsia="黑体" w:cs="Arial"/>
          <w:sz w:val="28"/>
          <w:szCs w:val="28"/>
        </w:rPr>
        <w:outlineLvl w:val="3"/>
      </w:pPr>
      <w:r/>
      <w:bookmarkStart w:id="93" w:name="_Toc16938531"/>
      <w:r/>
      <w:bookmarkStart w:id="94" w:name="_Toc20823287"/>
      <w:r/>
      <w:bookmarkStart w:id="95" w:name="_Toc462564074"/>
      <w:r/>
      <w:bookmarkStart w:id="96" w:name="_Toc513029215"/>
      <w:r>
        <w:rPr>
          <w:rFonts w:hint="eastAsia" w:ascii="Arial" w:hAnsi="Arial" w:eastAsia="黑体" w:cs="Arial"/>
          <w:sz w:val="28"/>
          <w:szCs w:val="28"/>
        </w:rPr>
        <w:t xml:space="preserve">10、响应文件构成</w:t>
      </w:r>
      <w:bookmarkEnd w:id="93"/>
      <w:r/>
      <w:bookmarkEnd w:id="94"/>
      <w:r/>
      <w:bookmarkEnd w:id="95"/>
      <w:r/>
      <w:bookmarkEnd w:id="96"/>
      <w:r/>
      <w:r/>
    </w:p>
    <w:p>
      <w:pPr>
        <w:ind w:firstLine="480"/>
        <w:spacing w:line="44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供应商编写的响应文件应包括资格证明文件、符合性证明文件、初次报价表、类似业绩表、投入人员表、</w:t>
      </w:r>
      <w:r>
        <w:rPr>
          <w:rFonts w:hint="eastAsia" w:ascii="宋体" w:hAnsi="宋体"/>
          <w:sz w:val="24"/>
          <w:szCs w:val="21"/>
          <w:lang w:eastAsia="zh-CN"/>
        </w:rPr>
        <w:t xml:space="preserve">建设方案、</w:t>
      </w:r>
      <w:r>
        <w:rPr>
          <w:rFonts w:hint="eastAsia" w:ascii="宋体" w:hAnsi="宋体"/>
          <w:sz w:val="24"/>
          <w:szCs w:val="24"/>
        </w:rPr>
        <w:t xml:space="preserve">服务方案及</w:t>
      </w:r>
      <w:r>
        <w:rPr>
          <w:rFonts w:ascii="宋体" w:hAnsi="宋体"/>
          <w:sz w:val="24"/>
          <w:szCs w:val="24"/>
        </w:rPr>
        <w:t xml:space="preserve">服务人员管理及培训</w:t>
      </w:r>
      <w:r>
        <w:rPr>
          <w:rFonts w:hint="eastAsia" w:ascii="宋体" w:hAnsi="宋体"/>
          <w:sz w:val="24"/>
          <w:szCs w:val="24"/>
        </w:rPr>
        <w:t xml:space="preserve">、</w:t>
      </w:r>
      <w:r>
        <w:rPr>
          <w:rFonts w:ascii="宋体" w:hAnsi="宋体"/>
          <w:sz w:val="24"/>
          <w:szCs w:val="24"/>
        </w:rPr>
        <w:t xml:space="preserve">保障制度</w:t>
      </w:r>
      <w:r>
        <w:rPr>
          <w:rFonts w:hint="eastAsia" w:ascii="宋体" w:hAnsi="宋体"/>
          <w:sz w:val="24"/>
          <w:szCs w:val="24"/>
        </w:rPr>
        <w:t xml:space="preserve">与</w:t>
      </w:r>
      <w:r>
        <w:rPr>
          <w:rFonts w:ascii="宋体" w:hAnsi="宋体"/>
          <w:sz w:val="24"/>
          <w:szCs w:val="24"/>
        </w:rPr>
        <w:t xml:space="preserve">应急预案</w:t>
      </w:r>
      <w:r>
        <w:rPr>
          <w:rFonts w:hint="eastAsia" w:ascii="宋体" w:hAnsi="宋体"/>
          <w:sz w:val="24"/>
          <w:szCs w:val="24"/>
        </w:rPr>
        <w:t xml:space="preserve">、</w:t>
      </w:r>
      <w:r>
        <w:rPr>
          <w:rFonts w:hint="eastAsia" w:ascii="宋体" w:hAnsi="宋体"/>
          <w:sz w:val="24"/>
          <w:szCs w:val="24"/>
          <w:lang w:eastAsia="zh-CN"/>
        </w:rPr>
        <w:t xml:space="preserve">信息化服务</w:t>
      </w:r>
      <w:r>
        <w:rPr>
          <w:rFonts w:hint="eastAsia" w:ascii="宋体" w:hAnsi="宋体"/>
          <w:sz w:val="24"/>
          <w:szCs w:val="24"/>
        </w:rPr>
        <w:t xml:space="preserve">方案</w:t>
      </w:r>
      <w:r>
        <w:rPr>
          <w:rFonts w:hint="eastAsia" w:ascii="宋体" w:hAnsi="宋体"/>
          <w:sz w:val="24"/>
          <w:szCs w:val="21"/>
        </w:rPr>
        <w:t xml:space="preserve">、磋商响应函等部分。</w:t>
      </w:r>
      <w:r/>
    </w:p>
    <w:p>
      <w:pPr>
        <w:ind w:firstLine="480"/>
        <w:spacing w:line="440" w:lineRule="exact"/>
        <w:rPr>
          <w:rFonts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p>
    <w:p>
      <w:pPr>
        <w:ind w:firstLine="420"/>
        <w:keepLines/>
        <w:keepNext/>
        <w:rPr>
          <w:rFonts w:ascii="Arial" w:hAnsi="Arial" w:eastAsia="黑体" w:cs="Arial"/>
          <w:sz w:val="28"/>
          <w:szCs w:val="28"/>
        </w:rPr>
        <w:outlineLvl w:val="3"/>
      </w:pPr>
      <w:r/>
      <w:bookmarkStart w:id="97" w:name="_Hlt26670360"/>
      <w:r/>
      <w:bookmarkEnd w:id="97"/>
      <w:r/>
      <w:bookmarkStart w:id="98" w:name="_Hlt26668975"/>
      <w:r/>
      <w:bookmarkEnd w:id="98"/>
      <w:r/>
      <w:bookmarkStart w:id="99" w:name="_Hlt26954838"/>
      <w:r/>
      <w:bookmarkEnd w:id="99"/>
      <w:r/>
      <w:bookmarkStart w:id="100" w:name="_Toc513029219"/>
      <w:r/>
      <w:bookmarkStart w:id="101" w:name="_Toc49090507"/>
      <w:r/>
      <w:bookmarkStart w:id="102" w:name="_Toc49090509"/>
      <w:r/>
      <w:bookmarkStart w:id="103" w:name="_Toc14577354"/>
      <w:r/>
      <w:bookmarkStart w:id="104" w:name="_Toc14577357"/>
      <w:r/>
      <w:bookmarkStart w:id="105" w:name="_Toc513029216"/>
      <w:r/>
      <w:bookmarkStart w:id="106" w:name="_Toc14577355"/>
      <w:r/>
      <w:bookmarkStart w:id="107" w:name="_Toc49090508"/>
      <w:r>
        <w:rPr>
          <w:rFonts w:hint="eastAsia" w:ascii="Arial" w:hAnsi="Arial" w:eastAsia="黑体" w:cs="Arial"/>
          <w:sz w:val="28"/>
          <w:szCs w:val="28"/>
        </w:rPr>
        <w:t xml:space="preserve">11、证明磋商响应标的符合磋商文件规定的文件</w:t>
      </w:r>
      <w:bookmarkEnd w:id="100"/>
      <w:r/>
      <w:bookmarkEnd w:id="101"/>
      <w:r/>
      <w:bookmarkEnd w:id="102"/>
      <w:r/>
      <w:bookmarkEnd w:id="103"/>
      <w:r/>
      <w:bookmarkEnd w:id="104"/>
      <w:r/>
      <w:bookmarkEnd w:id="105"/>
      <w:r/>
      <w:r/>
    </w:p>
    <w:p>
      <w:pPr>
        <w:spacing w:line="48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p>
    <w:p>
      <w:pPr>
        <w:ind w:firstLine="480"/>
        <w:spacing w:line="480" w:lineRule="exact"/>
        <w:rPr>
          <w:rFonts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106"/>
      <w:r/>
      <w:bookmarkEnd w:id="107"/>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12、初次报价表</w:t>
      </w:r>
      <w:r/>
    </w:p>
    <w:p>
      <w:pPr>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供应商应按照磋商文件规定格式填报报价表。</w:t>
      </w:r>
      <w:r/>
    </w:p>
    <w:p>
      <w:pPr>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rPr>
          <w:rFonts w:ascii="Arial" w:hAnsi="Arial" w:eastAsia="黑体" w:cs="Arial"/>
          <w:sz w:val="28"/>
          <w:szCs w:val="28"/>
        </w:rPr>
        <w:outlineLvl w:val="3"/>
      </w:pPr>
      <w:r/>
      <w:bookmarkStart w:id="108" w:name="_Hlt26670486"/>
      <w:r/>
      <w:bookmarkEnd w:id="108"/>
      <w:r/>
      <w:bookmarkStart w:id="109" w:name="_Hlt26670482"/>
      <w:r/>
      <w:bookmarkEnd w:id="109"/>
      <w:r/>
      <w:bookmarkStart w:id="110" w:name="_Hlt26954731"/>
      <w:r/>
      <w:bookmarkEnd w:id="110"/>
      <w:r/>
      <w:bookmarkStart w:id="111" w:name="_Hlt26954848"/>
      <w:r/>
      <w:bookmarkEnd w:id="111"/>
      <w:r/>
      <w:bookmarkStart w:id="112" w:name="_Hlt26954846"/>
      <w:r/>
      <w:bookmarkEnd w:id="112"/>
      <w:r>
        <w:rPr>
          <w:rFonts w:hint="eastAsia" w:ascii="Arial" w:hAnsi="Arial" w:eastAsia="黑体" w:cs="Arial"/>
          <w:sz w:val="28"/>
          <w:szCs w:val="28"/>
        </w:rPr>
        <w:t xml:space="preserve">13、技术要求响应、商务要求响应</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14、总体服务方案及</w:t>
      </w:r>
      <w:r>
        <w:rPr>
          <w:rFonts w:ascii="Arial" w:hAnsi="Arial" w:eastAsia="黑体" w:cs="Arial"/>
          <w:sz w:val="28"/>
          <w:szCs w:val="28"/>
        </w:rPr>
        <w:t xml:space="preserve">服务人员管理及培训</w:t>
      </w:r>
      <w:r>
        <w:rPr>
          <w:rFonts w:hint="eastAsia" w:ascii="Arial" w:hAnsi="Arial" w:eastAsia="黑体" w:cs="Arial"/>
          <w:sz w:val="28"/>
          <w:szCs w:val="28"/>
        </w:rPr>
        <w:t xml:space="preserve">、</w:t>
      </w:r>
      <w:r>
        <w:rPr>
          <w:rFonts w:ascii="Arial" w:hAnsi="Arial" w:eastAsia="黑体" w:cs="Arial"/>
          <w:sz w:val="28"/>
          <w:szCs w:val="28"/>
        </w:rPr>
        <w:t xml:space="preserve">线上服务</w:t>
      </w:r>
      <w:r>
        <w:rPr>
          <w:rFonts w:hint="eastAsia" w:ascii="Arial" w:hAnsi="Arial" w:eastAsia="黑体" w:cs="Arial"/>
          <w:sz w:val="28"/>
          <w:szCs w:val="28"/>
        </w:rPr>
        <w:t xml:space="preserve">、线下上门服务、</w:t>
      </w:r>
      <w:r>
        <w:rPr>
          <w:rFonts w:ascii="Arial" w:hAnsi="Arial" w:eastAsia="黑体" w:cs="Arial"/>
          <w:sz w:val="28"/>
          <w:szCs w:val="28"/>
        </w:rPr>
        <w:t xml:space="preserve">站点运营</w:t>
      </w:r>
      <w:r>
        <w:rPr>
          <w:rFonts w:hint="eastAsia" w:ascii="Arial" w:hAnsi="Arial" w:eastAsia="黑体" w:cs="Arial"/>
          <w:sz w:val="28"/>
          <w:szCs w:val="28"/>
        </w:rPr>
        <w:t xml:space="preserve">、</w:t>
      </w:r>
      <w:r>
        <w:rPr>
          <w:rFonts w:ascii="Arial" w:hAnsi="Arial" w:eastAsia="黑体" w:cs="Arial"/>
          <w:sz w:val="28"/>
          <w:szCs w:val="28"/>
        </w:rPr>
        <w:t xml:space="preserve">保障制度</w:t>
      </w:r>
      <w:r>
        <w:rPr>
          <w:rFonts w:hint="eastAsia" w:ascii="Arial" w:hAnsi="Arial" w:eastAsia="黑体" w:cs="Arial"/>
          <w:sz w:val="28"/>
          <w:szCs w:val="28"/>
        </w:rPr>
        <w:t xml:space="preserve">与</w:t>
      </w:r>
      <w:r>
        <w:rPr>
          <w:rFonts w:ascii="Arial" w:hAnsi="Arial" w:eastAsia="黑体" w:cs="Arial"/>
          <w:sz w:val="28"/>
          <w:szCs w:val="28"/>
        </w:rPr>
        <w:t xml:space="preserve">应急预案</w:t>
      </w:r>
      <w:r>
        <w:rPr>
          <w:rFonts w:hint="eastAsia" w:ascii="Arial" w:hAnsi="Arial" w:eastAsia="黑体" w:cs="Arial"/>
          <w:sz w:val="28"/>
          <w:szCs w:val="28"/>
        </w:rPr>
        <w:t xml:space="preserve">、</w:t>
      </w:r>
      <w:r>
        <w:rPr>
          <w:rFonts w:ascii="Arial" w:hAnsi="Arial" w:eastAsia="黑体" w:cs="Arial"/>
          <w:sz w:val="28"/>
          <w:szCs w:val="28"/>
        </w:rPr>
        <w:t xml:space="preserve">档案管理</w:t>
      </w:r>
      <w:r>
        <w:rPr>
          <w:rFonts w:hint="eastAsia" w:ascii="Arial" w:hAnsi="Arial" w:eastAsia="黑体" w:cs="Arial"/>
          <w:sz w:val="28"/>
          <w:szCs w:val="28"/>
        </w:rPr>
        <w:t xml:space="preserve">等专项方案</w:t>
      </w:r>
      <w:r/>
    </w:p>
    <w:p>
      <w:pPr>
        <w:ind w:firstLine="480"/>
        <w:spacing w:line="480" w:lineRule="exact"/>
        <w:rPr>
          <w:rFonts w:ascii="宋体" w:hAnsi="宋体"/>
          <w:sz w:val="24"/>
          <w:szCs w:val="24"/>
        </w:rPr>
      </w:pPr>
      <w:r>
        <w:rPr>
          <w:rFonts w:hint="eastAsia" w:ascii="宋体" w:hAnsi="宋体"/>
          <w:sz w:val="24"/>
          <w:szCs w:val="24"/>
        </w:rPr>
        <w:t xml:space="preserve">14.</w:t>
      </w:r>
      <w:r>
        <w:rPr>
          <w:rFonts w:ascii="宋体" w:hAnsi="宋体"/>
          <w:sz w:val="24"/>
          <w:szCs w:val="24"/>
        </w:rPr>
        <w:t xml:space="preserve">1</w:t>
      </w:r>
      <w:r>
        <w:rPr>
          <w:rFonts w:hint="eastAsia" w:ascii="宋体" w:hAnsi="宋体"/>
          <w:sz w:val="24"/>
          <w:szCs w:val="24"/>
        </w:rPr>
        <w:t xml:space="preserve">供应商需根据磋商文件要求提供总体方案。</w:t>
      </w:r>
      <w:r/>
    </w:p>
    <w:p>
      <w:pPr>
        <w:ind w:firstLine="480"/>
        <w:spacing w:line="480" w:lineRule="exact"/>
        <w:rPr>
          <w:rFonts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对应专项方案。</w:t>
      </w:r>
      <w:r/>
    </w:p>
    <w:p>
      <w:pPr>
        <w:ind w:firstLine="420"/>
        <w:keepLines/>
        <w:keepNext/>
        <w:rPr>
          <w:rFonts w:ascii="Arial" w:hAnsi="Arial" w:eastAsia="黑体" w:cs="Arial"/>
          <w:sz w:val="28"/>
          <w:szCs w:val="28"/>
        </w:rPr>
        <w:outlineLvl w:val="3"/>
      </w:pPr>
      <w:r/>
      <w:bookmarkStart w:id="113" w:name="_Toc14577359"/>
      <w:r/>
      <w:bookmarkStart w:id="114" w:name="_Toc49090510"/>
      <w:r>
        <w:rPr>
          <w:rFonts w:hint="eastAsia" w:ascii="Arial" w:hAnsi="Arial" w:eastAsia="黑体" w:cs="Arial"/>
          <w:sz w:val="28"/>
          <w:szCs w:val="28"/>
        </w:rPr>
        <w:t xml:space="preserve">15、磋商响应函</w:t>
      </w:r>
      <w:r/>
    </w:p>
    <w:p>
      <w:pPr>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113"/>
      <w:r/>
      <w:bookmarkEnd w:id="114"/>
      <w:r/>
      <w:r/>
    </w:p>
    <w:p>
      <w:pPr>
        <w:ind w:firstLine="420"/>
        <w:keepLines/>
        <w:keepNext/>
        <w:rPr>
          <w:rFonts w:ascii="Arial" w:hAnsi="Arial" w:eastAsia="黑体" w:cs="Arial"/>
          <w:sz w:val="28"/>
          <w:szCs w:val="28"/>
        </w:rPr>
        <w:outlineLvl w:val="3"/>
      </w:pPr>
      <w:r/>
      <w:bookmarkStart w:id="115" w:name="_Toc14577360"/>
      <w:r/>
      <w:bookmarkStart w:id="116" w:name="_Toc49090511"/>
      <w:r>
        <w:rPr>
          <w:rFonts w:hint="eastAsia" w:ascii="Arial" w:hAnsi="Arial" w:eastAsia="黑体" w:cs="Arial"/>
          <w:sz w:val="28"/>
          <w:szCs w:val="28"/>
        </w:rPr>
        <w:t xml:space="preserve">16、磋商有效期</w:t>
      </w:r>
      <w:bookmarkEnd w:id="115"/>
      <w:r/>
      <w:bookmarkEnd w:id="116"/>
      <w:r/>
      <w:r/>
    </w:p>
    <w:p>
      <w:pPr>
        <w:ind w:firstLine="480"/>
        <w:spacing w:line="500" w:lineRule="exact"/>
        <w:rPr>
          <w:rFonts w:ascii="宋体" w:hAnsi="宋体"/>
          <w:bCs/>
          <w:sz w:val="24"/>
          <w:szCs w:val="21"/>
        </w:rPr>
      </w:pPr>
      <w:r>
        <w:rPr>
          <w:rFonts w:hint="eastAsia" w:ascii="宋体" w:hAnsi="宋体"/>
          <w:bCs/>
          <w:sz w:val="24"/>
          <w:szCs w:val="21"/>
        </w:rPr>
        <w:t xml:space="preserve">16.1磋商有效期为提交响应文件截止之日后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ind w:firstLine="480"/>
        <w:spacing w:line="500" w:lineRule="exact"/>
        <w:rPr>
          <w:rFonts w:ascii="宋体" w:hAnsi="宋体"/>
          <w:bCs/>
          <w:sz w:val="24"/>
          <w:szCs w:val="21"/>
        </w:rPr>
      </w:pPr>
      <w:r>
        <w:rPr>
          <w:rFonts w:hint="eastAsia" w:ascii="宋体" w:hAnsi="宋体"/>
          <w:bCs/>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482"/>
        <w:keepLines/>
        <w:keepNext/>
        <w:spacing w:before="145" w:after="145" w:line="360" w:lineRule="auto"/>
        <w:rPr>
          <w:rFonts w:ascii="Times New Roman" w:hAnsi="Times New Roman"/>
          <w:b/>
          <w:bCs/>
          <w:sz w:val="32"/>
          <w:szCs w:val="32"/>
        </w:rPr>
        <w:outlineLvl w:val="2"/>
      </w:pPr>
      <w:r/>
      <w:bookmarkStart w:id="117" w:name="_Hlt26954739"/>
      <w:r/>
      <w:bookmarkEnd w:id="117"/>
      <w:r/>
      <w:bookmarkStart w:id="118" w:name="_Hlt26954852"/>
      <w:r/>
      <w:bookmarkEnd w:id="118"/>
      <w:r/>
      <w:bookmarkStart w:id="119" w:name="_Toc513029224"/>
      <w:r/>
      <w:bookmarkStart w:id="120" w:name="_Toc20823296"/>
      <w:r/>
      <w:bookmarkStart w:id="121" w:name="_Toc16938540"/>
      <w:r/>
      <w:bookmarkStart w:id="122" w:name="_Toc120614217"/>
      <w:r>
        <w:rPr>
          <w:rFonts w:hint="eastAsia" w:ascii="Times New Roman" w:hAnsi="Times New Roman"/>
          <w:b/>
          <w:bCs/>
          <w:sz w:val="32"/>
          <w:szCs w:val="32"/>
        </w:rPr>
        <w:t xml:space="preserve">四、响应文件的递交</w:t>
      </w:r>
      <w:bookmarkEnd w:id="119"/>
      <w:r/>
      <w:bookmarkEnd w:id="120"/>
      <w:r/>
      <w:bookmarkEnd w:id="121"/>
      <w:r/>
      <w:bookmarkEnd w:id="122"/>
      <w:r/>
      <w:r/>
    </w:p>
    <w:p>
      <w:pPr>
        <w:ind w:firstLine="560"/>
        <w:keepLines/>
        <w:keepNext/>
        <w:rPr>
          <w:rFonts w:ascii="黑体" w:hAnsi="Arial" w:eastAsia="黑体" w:cs="Arial"/>
          <w:sz w:val="28"/>
          <w:szCs w:val="28"/>
        </w:rPr>
        <w:outlineLvl w:val="3"/>
      </w:pPr>
      <w:r/>
      <w:bookmarkStart w:id="123" w:name="_Toc16938541"/>
      <w:r/>
      <w:bookmarkStart w:id="124" w:name="_Toc20823297"/>
      <w:r/>
      <w:bookmarkStart w:id="125" w:name="_Toc513029225"/>
      <w:r/>
      <w:bookmarkStart w:id="126"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23"/>
      <w:r/>
      <w:bookmarkEnd w:id="124"/>
      <w:r/>
      <w:bookmarkEnd w:id="125"/>
      <w:r/>
      <w:bookmarkEnd w:id="126"/>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7" w:name="_Toc513029226"/>
      <w:r/>
      <w:bookmarkStart w:id="128" w:name="_Toc20823298"/>
      <w:r/>
      <w:bookmarkStart w:id="129" w:name="_Toc16938542"/>
      <w:r/>
      <w:r/>
    </w:p>
    <w:p>
      <w:pPr>
        <w:ind w:firstLine="560"/>
        <w:keepLines/>
        <w:keepNext/>
        <w:spacing w:before="280" w:after="290" w:line="376"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7"/>
      <w:r/>
      <w:bookmarkEnd w:id="128"/>
      <w:r/>
      <w:bookmarkEnd w:id="129"/>
      <w:r/>
      <w:r/>
    </w:p>
    <w:p>
      <w:pPr>
        <w:ind w:firstLine="480"/>
        <w:spacing w:line="500" w:lineRule="exact"/>
        <w:rPr>
          <w:rFonts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p>
    <w:p>
      <w:pPr>
        <w:ind w:firstLine="480"/>
        <w:spacing w:line="50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rPr>
        <w:outlineLvl w:val="3"/>
      </w:pPr>
      <w:r/>
      <w:bookmarkStart w:id="130" w:name="_Toc16938543"/>
      <w:r/>
      <w:bookmarkStart w:id="131" w:name="_Toc513029227"/>
      <w:r/>
      <w:bookmarkStart w:id="132"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30"/>
      <w:r/>
      <w:bookmarkEnd w:id="131"/>
      <w:r/>
      <w:bookmarkEnd w:id="132"/>
      <w:r>
        <w:rPr>
          <w:rFonts w:hint="eastAsia" w:ascii="Arial" w:hAnsi="Arial" w:eastAsia="黑体" w:cs="Arial"/>
          <w:sz w:val="28"/>
          <w:szCs w:val="28"/>
        </w:rPr>
        <w:t xml:space="preserve">的拒收</w:t>
      </w:r>
      <w:r/>
    </w:p>
    <w:p>
      <w:pPr>
        <w:ind w:firstLine="480"/>
        <w:spacing w:line="500" w:lineRule="exact"/>
        <w:rPr>
          <w:rFonts w:ascii="宋体" w:hAnsi="宋体"/>
          <w:bCs/>
          <w:sz w:val="24"/>
          <w:szCs w:val="21"/>
        </w:rPr>
      </w:pPr>
      <w:r>
        <w:rPr>
          <w:rFonts w:hint="eastAsia" w:ascii="宋体" w:hAnsi="宋体"/>
          <w:bCs/>
          <w:sz w:val="24"/>
          <w:szCs w:val="21"/>
        </w:rPr>
        <w:t xml:space="preserve">20.1 采购人及代理机构拒绝接收在其规定的提交响应文件截止时间后上传的任何电子响应文件。</w:t>
      </w:r>
      <w:r/>
    </w:p>
    <w:p>
      <w:pPr>
        <w:ind w:firstLine="420"/>
        <w:keepLines/>
        <w:keepNext/>
        <w:rPr>
          <w:rFonts w:ascii="Arial" w:hAnsi="Arial" w:eastAsia="黑体" w:cs="Arial"/>
          <w:sz w:val="28"/>
          <w:szCs w:val="28"/>
        </w:rPr>
        <w:outlineLvl w:val="3"/>
      </w:pPr>
      <w:r/>
      <w:bookmarkStart w:id="133" w:name="_Toc20823300"/>
      <w:r/>
      <w:bookmarkStart w:id="134" w:name="_Toc513029228"/>
      <w:r/>
      <w:bookmarkStart w:id="135"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33"/>
      <w:r/>
      <w:bookmarkEnd w:id="134"/>
      <w:r/>
      <w:bookmarkEnd w:id="135"/>
      <w:r/>
      <w:r/>
    </w:p>
    <w:p>
      <w:pPr>
        <w:ind w:firstLine="480"/>
        <w:spacing w:line="48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48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45" w:after="145" w:line="360" w:lineRule="auto"/>
        <w:rPr>
          <w:rFonts w:ascii="Times New Roman" w:hAnsi="Times New Roman"/>
          <w:b/>
          <w:bCs/>
          <w:sz w:val="32"/>
          <w:szCs w:val="32"/>
        </w:rPr>
        <w:outlineLvl w:val="2"/>
      </w:pPr>
      <w:r/>
      <w:bookmarkStart w:id="136" w:name="_Toc120614218"/>
      <w:r/>
      <w:bookmarkStart w:id="137" w:name="_Toc16938545"/>
      <w:r/>
      <w:bookmarkStart w:id="138" w:name="_Toc20823301"/>
      <w:r/>
      <w:bookmarkStart w:id="139" w:name="_Toc513029229"/>
      <w:r>
        <w:rPr>
          <w:rFonts w:hint="eastAsia" w:ascii="Times New Roman" w:hAnsi="Times New Roman"/>
          <w:b/>
          <w:bCs/>
          <w:sz w:val="32"/>
          <w:szCs w:val="32"/>
        </w:rPr>
        <w:t xml:space="preserve">五、响应文件的解密与评审</w:t>
      </w:r>
      <w:bookmarkEnd w:id="136"/>
      <w:r/>
      <w:bookmarkEnd w:id="137"/>
      <w:r/>
      <w:bookmarkEnd w:id="138"/>
      <w:r/>
      <w:bookmarkEnd w:id="139"/>
      <w:r/>
      <w:r/>
    </w:p>
    <w:p>
      <w:pPr>
        <w:ind w:firstLine="420"/>
        <w:keepLines/>
        <w:keepNext/>
        <w:rPr>
          <w:rFonts w:ascii="Arial" w:hAnsi="Arial" w:eastAsia="黑体" w:cs="Arial"/>
          <w:sz w:val="28"/>
          <w:szCs w:val="28"/>
        </w:rPr>
        <w:outlineLvl w:val="3"/>
      </w:pPr>
      <w:r/>
      <w:bookmarkStart w:id="140" w:name="_Toc16938546"/>
      <w:r/>
      <w:bookmarkStart w:id="141" w:name="_Toc20823302"/>
      <w:r/>
      <w:bookmarkStart w:id="142" w:name="_Toc513029230"/>
      <w:r>
        <w:rPr>
          <w:rFonts w:hint="eastAsia" w:ascii="Arial" w:hAnsi="Arial" w:eastAsia="黑体" w:cs="Arial"/>
          <w:sz w:val="28"/>
          <w:szCs w:val="28"/>
        </w:rPr>
        <w:t xml:space="preserve">22、</w:t>
      </w:r>
      <w:bookmarkEnd w:id="140"/>
      <w:r/>
      <w:bookmarkEnd w:id="141"/>
      <w:r/>
      <w:bookmarkEnd w:id="142"/>
      <w:r>
        <w:rPr>
          <w:rFonts w:hint="eastAsia" w:ascii="Arial" w:hAnsi="Arial" w:eastAsia="黑体" w:cs="Arial"/>
          <w:sz w:val="28"/>
          <w:szCs w:val="28"/>
        </w:rPr>
        <w:t xml:space="preserve">响应文件解密</w:t>
      </w:r>
      <w:r/>
    </w:p>
    <w:p>
      <w:pPr>
        <w:ind w:firstLine="360"/>
        <w:rPr>
          <w:rFonts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p>
    <w:p>
      <w:pPr>
        <w:ind w:firstLine="420"/>
        <w:keepLines/>
        <w:keepNext/>
        <w:rPr>
          <w:rFonts w:ascii="Arial" w:hAnsi="Arial" w:eastAsia="黑体" w:cs="Arial"/>
          <w:sz w:val="28"/>
          <w:szCs w:val="28"/>
        </w:rPr>
        <w:outlineLvl w:val="3"/>
      </w:pPr>
      <w:r/>
      <w:bookmarkStart w:id="143" w:name="_Toc513029231"/>
      <w:r/>
      <w:bookmarkStart w:id="144" w:name="_Toc20823303"/>
      <w:r/>
      <w:bookmarkStart w:id="145"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.1采购人及代理机构将组织磋商小组对响应文件进行评审。磋商小组由采购人代表和有关技术、经济等方面的专家组成，且人员构成符合政府采购有关规定。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143"/>
      <w:r/>
      <w:bookmarkEnd w:id="144"/>
      <w:r/>
      <w:bookmarkEnd w:id="145"/>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磋商小组、采购人和代理机构工作人员、相关监督人员等与评审工作有关的人员，对评审情况以及在评审过程中获悉的国家秘密、商业秘密负有保密责任。</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在项目评审期间，代理机构将设专门人员与供应商联系。</w:t>
      </w:r>
      <w:r/>
    </w:p>
    <w:p>
      <w:pPr>
        <w:ind w:firstLine="480"/>
        <w:spacing w:line="48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.4 代理机构和磋商小组不向未成交的供应商解释未成交原因，也不公布评审过程中的相关细节。</w:t>
      </w:r>
      <w:r/>
    </w:p>
    <w:p>
      <w:pPr>
        <w:ind w:firstLine="420"/>
        <w:keepLines/>
        <w:keepNext/>
        <w:rPr>
          <w:rFonts w:ascii="Arial" w:hAnsi="Arial" w:eastAsia="黑体" w:cs="Arial"/>
          <w:sz w:val="28"/>
          <w:szCs w:val="28"/>
        </w:rPr>
        <w:outlineLvl w:val="3"/>
      </w:pPr>
      <w:r/>
      <w:bookmarkStart w:id="146" w:name="_Toc20823304"/>
      <w:r/>
      <w:bookmarkStart w:id="147" w:name="_Toc513029232"/>
      <w:r/>
      <w:bookmarkStart w:id="148"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6"/>
      <w:r/>
      <w:bookmarkEnd w:id="147"/>
      <w:r/>
      <w:bookmarkEnd w:id="148"/>
      <w:r/>
      <w:r/>
    </w:p>
    <w:p>
      <w:pPr>
        <w:ind w:firstLine="480"/>
        <w:spacing w:line="46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spacing w:line="480" w:lineRule="exact"/>
        <w:rPr>
          <w:rFonts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80" w:lineRule="exact"/>
        <w:rPr>
          <w:rFonts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ind w:firstLine="420"/>
        <w:keepLines/>
        <w:keepNext/>
        <w:rPr>
          <w:rFonts w:ascii="Arial" w:hAnsi="Arial" w:eastAsia="黑体" w:cs="Arial"/>
          <w:sz w:val="28"/>
          <w:szCs w:val="28"/>
        </w:rPr>
        <w:outlineLvl w:val="3"/>
      </w:pPr>
      <w:r/>
      <w:bookmarkStart w:id="149" w:name="_Toc20823305"/>
      <w:r/>
      <w:bookmarkStart w:id="150" w:name="_Toc513029233"/>
      <w:r/>
      <w:bookmarkStart w:id="151"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9"/>
      <w:r/>
      <w:bookmarkEnd w:id="150"/>
      <w:r/>
      <w:bookmarkEnd w:id="151"/>
      <w:r>
        <w:rPr>
          <w:rFonts w:hint="eastAsia" w:ascii="Arial" w:hAnsi="Arial" w:eastAsia="黑体" w:cs="Arial"/>
          <w:sz w:val="28"/>
          <w:szCs w:val="28"/>
        </w:rPr>
        <w:t xml:space="preserve">查</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ind w:firstLine="480"/>
        <w:spacing w:line="460" w:lineRule="exact"/>
        <w:rPr>
          <w:rFonts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46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宋体" w:hAnsi="宋体"/>
          <w:bCs/>
          <w:sz w:val="24"/>
          <w:szCs w:val="21"/>
        </w:rPr>
      </w:pPr>
      <w:r>
        <w:rPr>
          <w:rFonts w:hint="eastAsia" w:ascii="宋体" w:hAnsi="宋体"/>
          <w:bCs/>
          <w:sz w:val="24"/>
          <w:szCs w:val="21"/>
        </w:rPr>
        <w:t xml:space="preserve">26.3未实质性响应磋商文件的情形</w:t>
      </w:r>
      <w:r/>
    </w:p>
    <w:p>
      <w:pPr>
        <w:ind w:firstLine="480"/>
        <w:spacing w:line="460" w:lineRule="exact"/>
        <w:rPr>
          <w:rFonts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26.3.2供应商未按照磋商文件要求上传电子响应文件的。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spacing w:line="460" w:lineRule="exact"/>
        <w:rPr>
          <w:rFonts w:ascii="宋体" w:hAnsi="宋体"/>
          <w:bCs/>
          <w:sz w:val="24"/>
          <w:szCs w:val="21"/>
        </w:rPr>
      </w:pPr>
      <w:r>
        <w:rPr>
          <w:rFonts w:hint="eastAsia" w:ascii="宋体" w:hAnsi="宋体"/>
          <w:bCs/>
          <w:sz w:val="24"/>
          <w:szCs w:val="21"/>
        </w:rPr>
        <w:t xml:space="preserve">26.3.4供应商不具备磋商文件中规定资格要求的。</w:t>
      </w:r>
      <w:r/>
    </w:p>
    <w:p>
      <w:pPr>
        <w:ind w:firstLine="480"/>
        <w:spacing w:line="460" w:lineRule="exact"/>
        <w:rPr>
          <w:rFonts w:ascii="宋体" w:hAnsi="宋体"/>
          <w:bCs/>
          <w:sz w:val="24"/>
          <w:szCs w:val="21"/>
        </w:rPr>
      </w:pPr>
      <w:r>
        <w:rPr>
          <w:rFonts w:hint="eastAsia" w:ascii="宋体" w:hAnsi="宋体"/>
          <w:bCs/>
          <w:sz w:val="24"/>
          <w:szCs w:val="21"/>
        </w:rPr>
        <w:t xml:space="preserve">26.3.5供应商的最后报价</w:t>
      </w:r>
      <w:r>
        <w:rPr>
          <w:rFonts w:hint="eastAsia" w:ascii="宋体" w:hAnsi="宋体"/>
          <w:bCs/>
          <w:sz w:val="24"/>
          <w:szCs w:val="21"/>
          <w:lang w:eastAsia="zh-CN"/>
        </w:rPr>
        <w:t xml:space="preserve">不符合招标文件要求的</w:t>
      </w:r>
      <w:r>
        <w:rPr>
          <w:rFonts w:hint="eastAsia" w:ascii="宋体" w:hAnsi="宋体"/>
          <w:bCs/>
          <w:sz w:val="24"/>
          <w:szCs w:val="21"/>
        </w:rPr>
        <w:t xml:space="preserve">。</w:t>
      </w:r>
      <w:r/>
    </w:p>
    <w:p>
      <w:pPr>
        <w:ind w:firstLine="480"/>
        <w:spacing w:line="460" w:lineRule="exact"/>
        <w:rPr>
          <w:rFonts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i/>
          <w:sz w:val="24"/>
          <w:szCs w:val="21"/>
          <w:u w:val="single"/>
        </w:rPr>
        <w:t xml:space="preserve">（本磋商文件中斜体且有下划线部分为实质性要求和条件）。</w:t>
      </w:r>
      <w:r/>
    </w:p>
    <w:p>
      <w:pPr>
        <w:ind w:firstLine="480"/>
        <w:spacing w:line="460" w:lineRule="exact"/>
        <w:rPr>
          <w:rFonts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ascii="宋体" w:hAnsi="宋体"/>
          <w:bCs/>
          <w:sz w:val="24"/>
          <w:szCs w:val="21"/>
        </w:rPr>
      </w:pPr>
      <w:r>
        <w:rPr>
          <w:rFonts w:hint="eastAsia" w:ascii="宋体" w:hAnsi="宋体"/>
          <w:bCs/>
          <w:sz w:val="24"/>
          <w:szCs w:val="21"/>
        </w:rPr>
        <w:t xml:space="preserve">26.3.8  响应文件含有采购人不能接受的附加条件的。</w:t>
      </w:r>
      <w:r/>
    </w:p>
    <w:p>
      <w:pPr>
        <w:ind w:firstLine="480"/>
        <w:spacing w:line="460" w:lineRule="exact"/>
        <w:rPr>
          <w:rFonts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宋体" w:hAnsi="宋体"/>
          <w:bCs/>
          <w:sz w:val="24"/>
          <w:szCs w:val="21"/>
        </w:rPr>
      </w:pPr>
      <w:r>
        <w:rPr>
          <w:rFonts w:hint="eastAsia" w:ascii="宋体" w:hAnsi="宋体"/>
          <w:bCs/>
          <w:sz w:val="24"/>
          <w:szCs w:val="21"/>
        </w:rPr>
        <w:t xml:space="preserve">26.3.10响应文件未按照磋商文件要求加盖CA电子公章的。</w:t>
      </w:r>
      <w:r/>
    </w:p>
    <w:p>
      <w:pPr>
        <w:ind w:firstLine="480"/>
        <w:spacing w:line="460" w:lineRule="exact"/>
        <w:rPr>
          <w:rFonts w:ascii="宋体" w:hAnsi="宋体"/>
          <w:bCs/>
          <w:sz w:val="24"/>
          <w:szCs w:val="21"/>
        </w:rPr>
      </w:pPr>
      <w:r>
        <w:rPr>
          <w:rFonts w:hint="eastAsia" w:ascii="宋体" w:hAnsi="宋体"/>
          <w:bCs/>
          <w:sz w:val="24"/>
          <w:szCs w:val="21"/>
        </w:rPr>
        <w:t xml:space="preserve">26.4未实质性响应磋商文件的响应文件按无效响应处理。</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ascii="宋体" w:hAnsi="宋体"/>
          <w:sz w:val="24"/>
          <w:szCs w:val="21"/>
        </w:rPr>
      </w:pPr>
      <w:r/>
      <w:bookmarkStart w:id="152" w:name="_Toc16938550"/>
      <w:r/>
      <w:bookmarkStart w:id="153" w:name="_Toc20823306"/>
      <w:r/>
      <w:bookmarkStart w:id="154"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.6供应商在项目评审全过程中应保持通讯畅通，并安排专人与采购人及代理机构及磋商小组联系。</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52"/>
      <w:r/>
      <w:bookmarkEnd w:id="153"/>
      <w:r/>
      <w:bookmarkEnd w:id="154"/>
      <w:r>
        <w:rPr>
          <w:rFonts w:hint="eastAsia" w:ascii="Arial" w:hAnsi="Arial" w:eastAsia="黑体" w:cs="Arial"/>
          <w:sz w:val="28"/>
          <w:szCs w:val="28"/>
        </w:rPr>
        <w:t xml:space="preserve">磋商程序及评审方法和评审标准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27.1磋商程序</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45" w:line="460" w:lineRule="exact"/>
        <w:tabs>
          <w:tab w:val="left" w:pos="900" w:leader="none"/>
        </w:tabs>
        <w:rPr>
          <w:rFonts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27.2 评审方法和评审标准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27.2.2评审标准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见本磋商文件第五章规定。</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27.3采购活动终止的情况</w:t>
      </w:r>
      <w:r/>
    </w:p>
    <w:p>
      <w:pPr>
        <w:ind w:firstLine="480"/>
        <w:spacing w:after="145" w:line="460" w:lineRule="exact"/>
        <w:tabs>
          <w:tab w:val="left" w:pos="900" w:leader="none"/>
        </w:tabs>
        <w:rPr>
          <w:rFonts w:ascii="宋体" w:hAnsi="宋体"/>
          <w:sz w:val="24"/>
          <w:szCs w:val="24"/>
        </w:rPr>
      </w:pPr>
      <w:r>
        <w:rPr>
          <w:rFonts w:hint="eastAsia" w:ascii="宋体" w:hAnsi="宋体"/>
          <w:sz w:val="24"/>
          <w:szCs w:val="24"/>
        </w:rPr>
        <w:t xml:space="preserve">出现下列情形之一的，本次竞争性磋商采购活动将被终止：</w:t>
      </w:r>
      <w:r/>
    </w:p>
    <w:p>
      <w:pPr>
        <w:ind w:firstLine="480"/>
        <w:spacing w:after="145" w:line="460" w:lineRule="exact"/>
        <w:tabs>
          <w:tab w:val="left" w:pos="900" w:leader="none"/>
        </w:tabs>
        <w:rPr>
          <w:rFonts w:ascii="宋体" w:hAnsi="宋体"/>
          <w:sz w:val="24"/>
          <w:szCs w:val="24"/>
        </w:rPr>
      </w:pPr>
      <w:r>
        <w:rPr>
          <w:rFonts w:hint="eastAsia" w:ascii="宋体" w:hAnsi="宋体"/>
          <w:sz w:val="24"/>
          <w:szCs w:val="24"/>
        </w:rPr>
        <w:t xml:space="preserve">27.3.1因情况变化，不再符合规定的竞争性磋商采购方式适用情形的。</w:t>
      </w:r>
      <w:r/>
    </w:p>
    <w:p>
      <w:pPr>
        <w:ind w:firstLine="480"/>
        <w:spacing w:after="145" w:line="460" w:lineRule="exact"/>
        <w:tabs>
          <w:tab w:val="left" w:pos="900" w:leader="none"/>
        </w:tabs>
        <w:rPr>
          <w:rFonts w:ascii="宋体" w:hAnsi="宋体"/>
          <w:sz w:val="24"/>
          <w:szCs w:val="24"/>
        </w:rPr>
      </w:pPr>
      <w:r>
        <w:rPr>
          <w:rFonts w:hint="eastAsia" w:ascii="宋体" w:hAnsi="宋体"/>
          <w:sz w:val="24"/>
          <w:szCs w:val="24"/>
        </w:rPr>
        <w:t xml:space="preserve">27.3.2出现影响采购公正的违法、违规行为的。</w:t>
      </w:r>
      <w:r/>
    </w:p>
    <w:p>
      <w:pPr>
        <w:ind w:firstLine="480"/>
        <w:spacing w:after="145" w:line="460" w:lineRule="exact"/>
        <w:tabs>
          <w:tab w:val="left" w:pos="900" w:leader="none"/>
        </w:tabs>
        <w:rPr>
          <w:rFonts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ind w:firstLine="480"/>
        <w:spacing w:after="145"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ind w:firstLine="600"/>
        <w:keepLines/>
        <w:keepNext/>
        <w:rPr>
          <w:rFonts w:hint="eastAsia" w:ascii="黑体" w:hAnsi="宋体" w:eastAsia="黑体"/>
          <w:bCs/>
          <w:sz w:val="30"/>
          <w:szCs w:val="30"/>
          <w:lang w:val="zh-CN"/>
        </w:rPr>
        <w:outlineLvl w:val="3"/>
      </w:pPr>
      <w:r>
        <w:rPr>
          <w:rFonts w:hint="eastAsia" w:ascii="黑体" w:hAnsi="宋体" w:eastAsia="黑体"/>
          <w:bCs/>
          <w:sz w:val="30"/>
          <w:szCs w:val="30"/>
        </w:rPr>
        <w:t xml:space="preserve">28、</w:t>
      </w:r>
      <w:r>
        <w:rPr>
          <w:rFonts w:hint="default" w:ascii="黑体" w:hAnsi="宋体" w:eastAsia="黑体"/>
          <w:bCs/>
          <w:sz w:val="30"/>
          <w:szCs w:val="30"/>
          <w:lang w:val="en-US" w:eastAsia="zh-CN"/>
        </w:rPr>
        <w:t xml:space="preserve">政府采购异常低价审查的</w:t>
      </w:r>
      <w:r>
        <w:rPr>
          <w:rFonts w:hint="eastAsia" w:ascii="黑体" w:hAnsi="宋体" w:eastAsia="黑体"/>
          <w:bCs/>
          <w:sz w:val="30"/>
          <w:szCs w:val="30"/>
          <w:lang w:val="en-US" w:eastAsia="zh-CN"/>
        </w:rPr>
        <w:t xml:space="preserve">实施</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28.1.</w:t>
      </w:r>
      <w:r>
        <w:rPr>
          <w:rFonts w:hint="default" w:ascii="宋体" w:hAnsi="宋体" w:eastAsia="宋体" w:cs="宋体"/>
          <w:b w:val="0"/>
          <w:bCs w:val="0"/>
          <w:color w:val="auto"/>
          <w:sz w:val="24"/>
          <w:highlight w:val="none"/>
          <w:u w:val="none"/>
          <w:lang w:val="en-US" w:eastAsia="zh-CN"/>
        </w:rPr>
        <w:t xml:space="preserve">评审过程中出现下列情形之一的，</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应当启动异常低价投标（响应）审查程序： </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（1）</w:t>
      </w:r>
      <w:r>
        <w:rPr>
          <w:rFonts w:hint="default" w:ascii="宋体" w:hAnsi="宋体" w:eastAsia="宋体" w:cs="宋体"/>
          <w:b w:val="0"/>
          <w:bCs w:val="0"/>
          <w:color w:val="auto"/>
          <w:sz w:val="24"/>
          <w:highlight w:val="none"/>
          <w:u w:val="none"/>
          <w:lang w:val="en-US" w:eastAsia="zh-CN"/>
        </w:rPr>
        <w:t xml:space="preserve">投标（响应）报价低于采购项目预算50%的，即投标（响应）报价&lt;采购项目预算×50%； </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（2）</w:t>
      </w:r>
      <w:r>
        <w:rPr>
          <w:rFonts w:hint="default" w:ascii="宋体" w:hAnsi="宋体" w:eastAsia="宋体" w:cs="宋体"/>
          <w:b w:val="0"/>
          <w:bCs w:val="0"/>
          <w:color w:val="auto"/>
          <w:sz w:val="24"/>
          <w:highlight w:val="none"/>
          <w:u w:val="none"/>
          <w:lang w:val="en-US" w:eastAsia="zh-CN"/>
        </w:rPr>
        <w:t xml:space="preserve">投标（响应）报价低于采购项目最高限价45%的，即投标（响应）报价&lt;采购项目最高限价×45%； </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（3）</w:t>
      </w:r>
      <w:r>
        <w:rPr>
          <w:rFonts w:hint="default" w:ascii="宋体" w:hAnsi="宋体" w:eastAsia="宋体" w:cs="宋体"/>
          <w:b w:val="0"/>
          <w:bCs w:val="0"/>
          <w:color w:val="auto"/>
          <w:sz w:val="24"/>
          <w:highlight w:val="none"/>
          <w:u w:val="none"/>
          <w:lang w:val="en-US" w:eastAsia="zh-CN"/>
        </w:rPr>
        <w:t xml:space="preserve">评审委员会认定的供应商报价过低、有可能影响产品质量或者不能诚信履约的其他情形。 </w:t>
      </w:r>
      <w:r/>
    </w:p>
    <w:p>
      <w:pPr>
        <w:ind w:firstLine="570"/>
        <w:keepLines w:val="0"/>
        <w:keepNext w:val="0"/>
        <w:pageBreakBefore w:val="0"/>
        <w:spacing w:line="360" w:lineRule="auto"/>
        <w:widowControl w:val="off"/>
        <w:rPr>
          <w:rFonts w:hint="eastAsia" w:ascii="宋体" w:hAnsi="宋体" w:cs="宋体"/>
          <w:sz w:val="24"/>
          <w:szCs w:val="24"/>
        </w:rPr>
      </w:pPr>
      <w:r>
        <w:rPr>
          <w:rFonts w:hint="eastAsia" w:ascii="宋体" w:hAnsi="宋体" w:cs="宋体"/>
          <w:b w:val="0"/>
          <w:bCs w:val="0"/>
          <w:color w:val="auto"/>
          <w:sz w:val="24"/>
          <w:highlight w:val="none"/>
          <w:u w:val="none"/>
          <w:lang w:val="en-US" w:eastAsia="zh-CN"/>
        </w:rPr>
        <w:t xml:space="preserve">28.2.</w:t>
      </w:r>
      <w:r>
        <w:rPr>
          <w:rFonts w:hint="default" w:ascii="宋体" w:hAnsi="宋体" w:eastAsia="宋体" w:cs="宋体"/>
          <w:b w:val="0"/>
          <w:bCs w:val="0"/>
          <w:color w:val="auto"/>
          <w:sz w:val="24"/>
          <w:highlight w:val="none"/>
          <w:u w:val="none"/>
          <w:lang w:val="en-US" w:eastAsia="zh-CN"/>
        </w:rPr>
        <w:t xml:space="preserve">启动异常低价投标（响应）审查后，</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应当将其作为无效投标（响应）处理。审查相关情况应当在评审报告中进行记录。</w:t>
      </w:r>
      <w:r/>
    </w:p>
    <w:p>
      <w:pPr>
        <w:ind w:firstLine="482"/>
        <w:keepLines/>
        <w:keepNext/>
        <w:spacing w:before="145" w:after="145" w:line="360" w:lineRule="auto"/>
        <w:rPr>
          <w:rFonts w:ascii="Times New Roman" w:hAnsi="Times New Roman"/>
          <w:b/>
          <w:bCs/>
          <w:sz w:val="32"/>
          <w:szCs w:val="32"/>
        </w:rPr>
        <w:outlineLvl w:val="2"/>
      </w:pPr>
      <w:r/>
      <w:bookmarkStart w:id="155" w:name="_Toc20823307"/>
      <w:r/>
      <w:bookmarkStart w:id="156" w:name="_Toc513029235"/>
      <w:r/>
      <w:bookmarkStart w:id="157" w:name="_Toc16938551"/>
      <w:r/>
      <w:bookmarkStart w:id="158" w:name="_Toc120614219"/>
      <w:r>
        <w:rPr>
          <w:rFonts w:hint="eastAsia" w:ascii="Times New Roman" w:hAnsi="Times New Roman"/>
          <w:b/>
          <w:bCs/>
          <w:sz w:val="32"/>
          <w:szCs w:val="32"/>
        </w:rPr>
        <w:t xml:space="preserve">六、</w:t>
      </w:r>
      <w:bookmarkEnd w:id="155"/>
      <w:r/>
      <w:bookmarkEnd w:id="156"/>
      <w:r/>
      <w:bookmarkEnd w:id="157"/>
      <w:r/>
      <w:bookmarkEnd w:id="158"/>
      <w:r>
        <w:rPr>
          <w:rFonts w:hint="eastAsia" w:ascii="Times New Roman" w:hAnsi="Times New Roman"/>
          <w:b/>
          <w:bCs/>
          <w:sz w:val="32"/>
          <w:szCs w:val="32"/>
        </w:rPr>
        <w:t xml:space="preserve">成交</w:t>
      </w:r>
      <w:r/>
    </w:p>
    <w:p>
      <w:pPr>
        <w:ind w:firstLine="600"/>
        <w:keepLines/>
        <w:keepNext/>
        <w:rPr>
          <w:rFonts w:ascii="黑体" w:hAnsi="宋体" w:eastAsia="黑体"/>
          <w:bCs/>
          <w:sz w:val="30"/>
          <w:szCs w:val="30"/>
        </w:rPr>
        <w:outlineLvl w:val="3"/>
      </w:pPr>
      <w:r/>
      <w:bookmarkStart w:id="159" w:name="_Toc513029238"/>
      <w:r/>
      <w:bookmarkStart w:id="160" w:name="_Toc16938554"/>
      <w:r/>
      <w:bookmarkStart w:id="161" w:name="_Toc20823310"/>
      <w:r>
        <w:rPr>
          <w:rFonts w:hint="eastAsia" w:ascii="黑体" w:hAnsi="宋体" w:eastAsia="黑体"/>
          <w:bCs/>
          <w:sz w:val="30"/>
          <w:szCs w:val="30"/>
        </w:rPr>
        <w:t xml:space="preserve">2</w:t>
      </w:r>
      <w:r>
        <w:rPr>
          <w:rFonts w:hint="eastAsia" w:ascii="黑体" w:hAnsi="宋体" w:eastAsia="黑体"/>
          <w:bCs/>
          <w:sz w:val="30"/>
          <w:szCs w:val="30"/>
          <w:lang w:val="en-US" w:eastAsia="zh-CN"/>
        </w:rPr>
        <w:t xml:space="preserve">9</w:t>
      </w:r>
      <w:r>
        <w:rPr>
          <w:rFonts w:hint="eastAsia" w:ascii="黑体" w:hAnsi="宋体" w:eastAsia="黑体"/>
          <w:bCs/>
          <w:sz w:val="30"/>
          <w:szCs w:val="30"/>
        </w:rPr>
        <w:t xml:space="preserve">、</w:t>
      </w:r>
      <w:bookmarkEnd w:id="159"/>
      <w:r>
        <w:rPr>
          <w:rFonts w:hint="eastAsia" w:ascii="黑体" w:hAnsi="宋体" w:eastAsia="黑体"/>
          <w:bCs/>
          <w:sz w:val="30"/>
          <w:szCs w:val="30"/>
        </w:rPr>
        <w:t xml:space="preserve">确定</w:t>
      </w:r>
      <w:bookmarkEnd w:id="160"/>
      <w:r/>
      <w:bookmarkEnd w:id="161"/>
      <w:r>
        <w:rPr>
          <w:rFonts w:hint="eastAsia" w:ascii="黑体" w:hAnsi="宋体" w:eastAsia="黑体"/>
          <w:bCs/>
          <w:sz w:val="30"/>
          <w:szCs w:val="30"/>
        </w:rPr>
        <w:t xml:space="preserve">成交单位</w:t>
      </w:r>
      <w:r/>
    </w:p>
    <w:p>
      <w:pPr>
        <w:ind w:firstLine="478"/>
        <w:spacing w:after="145" w:line="560" w:lineRule="exact"/>
        <w:tabs>
          <w:tab w:val="left" w:pos="900" w:leader="none"/>
        </w:tabs>
        <w:rPr>
          <w:rFonts w:ascii="宋体" w:hAnsi="宋体"/>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.2采购人从评审报告提出的成交候选供应商中，按照排序由高到低的原则确定成交供应商。采购人确定成交供应商后，采购人及代理机构将在“江苏政府采购网”发布成交结果公告，公告期限为1个工作日。</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.3若有充分证据证明，成交供应商出现下列情况之一的，一经查实，将被取消成交资格：</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.3.1提供虚假材料谋取成交的。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.3.2与评审专家、采购人、其他供应商或者代理机构工作人员恶意串通的。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.3.3向评审专家、采购人或代理机构工作人员行贿或者提供其他不正当利益的。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.3.4恶意竞争，最后报价明显低于其自身合理成本且又无法提供证明的。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.3.5不满足本磋商文件规定的实质性要求，但在评审过程中又未被磋商小组发现的。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.3.6成交后无正当理由拒不与采购人签订政府采购合同或者未按照磋商文件确定的事项签订政府采购合同的。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.3.7将政府采购合同转包的。</w:t>
      </w:r>
      <w:r/>
    </w:p>
    <w:p>
      <w:pPr>
        <w:ind w:firstLine="600"/>
        <w:keepLines/>
        <w:keepNext/>
        <w:rPr>
          <w:rFonts w:ascii="黑体" w:hAnsi="宋体" w:eastAsia="黑体"/>
          <w:bCs/>
          <w:sz w:val="30"/>
          <w:szCs w:val="30"/>
        </w:rPr>
        <w:outlineLvl w:val="3"/>
      </w:pPr>
      <w:r/>
      <w:bookmarkStart w:id="162" w:name="_Toc200451960"/>
      <w:r>
        <w:rPr>
          <w:rFonts w:hint="eastAsia" w:ascii="黑体" w:hAnsi="宋体" w:eastAsia="黑体"/>
          <w:bCs/>
          <w:sz w:val="30"/>
          <w:szCs w:val="30"/>
          <w:lang w:val="en-US" w:eastAsia="zh-CN"/>
        </w:rPr>
        <w:t xml:space="preserve">30</w:t>
      </w:r>
      <w:r>
        <w:rPr>
          <w:rFonts w:hint="eastAsia" w:ascii="黑体" w:hAnsi="宋体" w:eastAsia="黑体"/>
          <w:bCs/>
          <w:sz w:val="30"/>
          <w:szCs w:val="30"/>
        </w:rPr>
        <w:t xml:space="preserve">、质疑处理</w:t>
      </w:r>
      <w:bookmarkEnd w:id="162"/>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及代理机构或采购人提出质疑。上述应知其权益受到损害之日，是指：</w:t>
      </w:r>
      <w:r/>
    </w:p>
    <w:p>
      <w:pPr>
        <w:ind w:firstLine="480"/>
        <w:spacing w:line="480" w:lineRule="exact"/>
        <w:rPr>
          <w:rFonts w:ascii="Times New Roman" w:hAnsi="宋体" w:cs="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hint="eastAsia" w:ascii="Times New Roman" w:hAnsi="宋体" w:cs="宋体"/>
          <w:sz w:val="24"/>
          <w:szCs w:val="24"/>
          <w:lang w:val="en-US" w:eastAsia="zh-CN"/>
        </w:rPr>
        <w:t xml:space="preserve"> </w:t>
      </w:r>
      <w:r>
        <w:rPr>
          <w:rFonts w:hint="eastAsia" w:ascii="宋体" w:hAnsi="宋体"/>
          <w:sz w:val="24"/>
          <w:szCs w:val="24"/>
          <w:lang w:val="en-US" w:eastAsia="zh-CN"/>
        </w:rPr>
        <w:t xml:space="preserve">30</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hint="eastAsia" w:ascii="宋体" w:hAnsi="宋体"/>
          <w:sz w:val="24"/>
          <w:szCs w:val="24"/>
          <w:lang w:val="en-US" w:eastAsia="zh-CN"/>
        </w:rPr>
        <w:t xml:space="preserve">30</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p>
    <w:p>
      <w:pPr>
        <w:ind w:firstLine="480"/>
        <w:spacing w:line="48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w:t>
      </w:r>
      <w:r>
        <w:rPr>
          <w:rFonts w:hint="eastAsia" w:ascii="宋体" w:hAnsi="宋体"/>
          <w:sz w:val="24"/>
          <w:szCs w:val="24"/>
        </w:rPr>
        <w:t xml:space="preserve">采购人及代理机构</w:t>
      </w:r>
      <w:r>
        <w:rPr>
          <w:rFonts w:ascii="宋体" w:hAnsi="宋体"/>
          <w:sz w:val="24"/>
          <w:szCs w:val="24"/>
        </w:rPr>
        <w:t xml:space="preserve">提出，由</w:t>
      </w:r>
      <w:r>
        <w:rPr>
          <w:rFonts w:hint="eastAsia" w:ascii="宋体" w:hAnsi="宋体"/>
          <w:sz w:val="24"/>
          <w:szCs w:val="24"/>
        </w:rPr>
        <w:t xml:space="preserve">代理机构经授权委托后</w:t>
      </w:r>
      <w:r>
        <w:rPr>
          <w:rFonts w:ascii="宋体" w:hAnsi="宋体"/>
          <w:sz w:val="24"/>
          <w:szCs w:val="24"/>
        </w:rPr>
        <w:t xml:space="preserve">负责答复。</w:t>
      </w:r>
      <w:r/>
    </w:p>
    <w:p>
      <w:pPr>
        <w:ind w:firstLine="480"/>
        <w:spacing w:line="480" w:lineRule="exact"/>
        <w:rPr>
          <w:rFonts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采购人及代理机构只接收以纸质原件形式送达的质疑,建议供应商尽量通过邮寄方式提交质疑（采购人和代理机构不接受未填写快递运单的快件）。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采购代理机构质疑联系方式（快递运单上的收件人填写“瑞泽工程”即可），联系地址：响水县黄河路</w:t>
      </w:r>
      <w:r>
        <w:rPr>
          <w:rFonts w:hint="eastAsia" w:ascii="宋体" w:hAnsi="宋体"/>
          <w:sz w:val="24"/>
          <w:szCs w:val="24"/>
          <w:lang w:val="en-US" w:eastAsia="zh-CN"/>
        </w:rPr>
        <w:t xml:space="preserve">2</w:t>
      </w:r>
      <w:r>
        <w:rPr>
          <w:rFonts w:hint="eastAsia" w:ascii="宋体" w:hAnsi="宋体"/>
          <w:sz w:val="24"/>
          <w:szCs w:val="24"/>
        </w:rPr>
        <w:t xml:space="preserve">2</w:t>
      </w:r>
      <w:r>
        <w:rPr>
          <w:rFonts w:ascii="宋体" w:hAnsi="宋体"/>
          <w:sz w:val="24"/>
          <w:szCs w:val="24"/>
        </w:rPr>
        <w:t xml:space="preserve">6-24</w:t>
      </w:r>
      <w:r>
        <w:rPr>
          <w:rFonts w:hint="eastAsia" w:ascii="宋体" w:hAnsi="宋体"/>
          <w:sz w:val="24"/>
          <w:szCs w:val="24"/>
        </w:rPr>
        <w:t xml:space="preserve">号，联系电话：</w:t>
      </w:r>
      <w:r>
        <w:rPr>
          <w:rFonts w:ascii="宋体" w:hAnsi="宋体"/>
          <w:sz w:val="24"/>
          <w:szCs w:val="24"/>
        </w:rPr>
        <w:t xml:space="preserve">13815502410</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采购人质疑接收人及联系方式见本磋商文件第一章。</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 以下情形的质疑不予受理</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.5.2 超出政府采购法定期限的质疑。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.5.4 未参加磋商活动的供应商或在磋商活动中自身权益未受到损害的供应商所提出的质疑。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.5.5供应商组成联合体参加磋商，联合体中任何一方或多方未按要求签字、盖章、加盖公章的质疑。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1</w:t>
      </w:r>
      <w:r>
        <w:rPr>
          <w:rFonts w:hint="eastAsia" w:ascii="黑体" w:hAnsi="宋体" w:eastAsia="黑体"/>
          <w:bCs/>
          <w:sz w:val="30"/>
          <w:szCs w:val="30"/>
        </w:rPr>
        <w:t xml:space="preserve">、成交通知书</w:t>
      </w:r>
      <w:r/>
    </w:p>
    <w:p>
      <w:pPr>
        <w:ind w:firstLine="600"/>
        <w:spacing w:line="480" w:lineRule="exact"/>
        <w:rPr>
          <w:rFonts w:ascii="宋体" w:hAnsi="宋体"/>
          <w:sz w:val="24"/>
          <w:szCs w:val="24"/>
        </w:rPr>
      </w:pPr>
      <w:r>
        <w:rPr>
          <w:rFonts w:ascii="宋体" w:hAnsi="宋体"/>
          <w:sz w:val="24"/>
          <w:szCs w:val="24"/>
        </w:rPr>
        <w:t xml:space="preserve">3</w:t>
      </w:r>
      <w:r>
        <w:rPr>
          <w:rFonts w:hint="eastAsia" w:ascii="宋体" w:hAnsi="宋体"/>
          <w:sz w:val="24"/>
          <w:szCs w:val="24"/>
          <w:lang w:val="en-US" w:eastAsia="zh-CN"/>
        </w:rPr>
        <w:t xml:space="preserve">1</w:t>
      </w:r>
      <w:r>
        <w:rPr>
          <w:rFonts w:ascii="宋体" w:hAnsi="宋体"/>
          <w:sz w:val="24"/>
          <w:szCs w:val="24"/>
        </w:rPr>
        <w:t xml:space="preserve">.1</w:t>
      </w:r>
      <w:r>
        <w:rPr>
          <w:rFonts w:hint="eastAsia" w:ascii="宋体" w:hAnsi="宋体"/>
          <w:sz w:val="24"/>
          <w:szCs w:val="24"/>
        </w:rPr>
        <w:t xml:space="preserve">成交结果确定后，代理机构将向成交供应商发出成交通知书。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ascii="Times New Roman" w:hAnsi="Times New Roman"/>
          <w:b/>
          <w:bCs/>
          <w:sz w:val="32"/>
          <w:szCs w:val="32"/>
        </w:rPr>
        <w:outlineLvl w:val="2"/>
      </w:pPr>
      <w:r/>
      <w:bookmarkStart w:id="163" w:name="_Toc120614220"/>
      <w:r/>
      <w:bookmarkStart w:id="164" w:name="_Toc20823308"/>
      <w:r/>
      <w:bookmarkStart w:id="165" w:name="_Toc16938552"/>
      <w:r/>
      <w:bookmarkStart w:id="166" w:name="_Toc513029236"/>
      <w:r>
        <w:rPr>
          <w:rFonts w:hint="eastAsia" w:ascii="Times New Roman" w:hAnsi="Times New Roman"/>
          <w:b/>
          <w:bCs/>
          <w:sz w:val="32"/>
          <w:szCs w:val="32"/>
        </w:rPr>
        <w:t xml:space="preserve">七、授予合同</w:t>
      </w:r>
      <w:bookmarkEnd w:id="163"/>
      <w:r/>
      <w:bookmarkEnd w:id="164"/>
      <w:r/>
      <w:bookmarkEnd w:id="165"/>
      <w:r/>
      <w:bookmarkEnd w:id="166"/>
      <w:r/>
      <w:r/>
    </w:p>
    <w:p>
      <w:pPr>
        <w:ind w:firstLine="600"/>
        <w:keepLines/>
        <w:keepNext/>
        <w:rPr>
          <w:rFonts w:ascii="黑体" w:hAnsi="宋体" w:eastAsia="黑体"/>
          <w:bCs/>
          <w:sz w:val="30"/>
          <w:szCs w:val="30"/>
        </w:rPr>
        <w:outlineLvl w:val="3"/>
      </w:pPr>
      <w:r/>
      <w:bookmarkStart w:id="167" w:name="_Toc513029237"/>
      <w:r/>
      <w:bookmarkStart w:id="168" w:name="_Toc20823309"/>
      <w:r/>
      <w:bookmarkStart w:id="169" w:name="_Toc16938553"/>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2</w:t>
      </w:r>
      <w:r>
        <w:rPr>
          <w:rFonts w:hint="eastAsia" w:ascii="黑体" w:hAnsi="宋体" w:eastAsia="黑体"/>
          <w:bCs/>
          <w:sz w:val="30"/>
          <w:szCs w:val="30"/>
        </w:rPr>
        <w:t xml:space="preserve">. 签订合同</w:t>
      </w:r>
      <w:r/>
    </w:p>
    <w:p>
      <w:pPr>
        <w:ind w:firstLine="600"/>
        <w:spacing w:line="480" w:lineRule="exact"/>
        <w:rPr>
          <w:rFonts w:ascii="宋体" w:hAnsi="宋体"/>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2</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.2磋商文件、成交供应商的响应文件及磋商过程中有关澄清、承诺文件均应作为合同附件。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3</w:t>
      </w:r>
      <w:r>
        <w:rPr>
          <w:rFonts w:hint="eastAsia" w:ascii="黑体" w:hAnsi="宋体" w:eastAsia="黑体"/>
          <w:bCs/>
          <w:sz w:val="30"/>
          <w:szCs w:val="30"/>
        </w:rPr>
        <w:t xml:space="preserve">、标的物的追加</w:t>
      </w:r>
      <w:r/>
    </w:p>
    <w:p>
      <w:pPr>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3</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7"/>
      <w:r/>
      <w:bookmarkEnd w:id="168"/>
      <w:r/>
      <w:bookmarkEnd w:id="169"/>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4</w:t>
      </w:r>
      <w:r>
        <w:rPr>
          <w:rFonts w:hint="eastAsia" w:ascii="黑体" w:hAnsi="宋体" w:eastAsia="黑体"/>
          <w:bCs/>
          <w:sz w:val="30"/>
          <w:szCs w:val="30"/>
        </w:rPr>
        <w:t xml:space="preserve">、政府采购履约资金扶持政策</w:t>
      </w:r>
      <w:r/>
    </w:p>
    <w:p>
      <w:pPr>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spacing w:line="500" w:lineRule="exact"/>
        <w:rPr>
          <w:rFonts w:hint="eastAsia" w:ascii="宋体" w:hAnsi="宋体"/>
          <w:bCs/>
          <w:sz w:val="24"/>
          <w:szCs w:val="24"/>
        </w:rPr>
      </w:pPr>
      <w:r>
        <w:rPr>
          <w:rFonts w:hint="eastAsia" w:ascii="宋体" w:hAnsi="宋体"/>
          <w:bCs/>
          <w:sz w:val="24"/>
          <w:szCs w:val="24"/>
        </w:rPr>
      </w:r>
      <w:r/>
    </w:p>
    <w:p>
      <w:pPr>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45"/>
      <w:r/>
      <w:bookmarkEnd w:id="46"/>
      <w:r/>
      <w:bookmarkEnd w:id="47"/>
      <w:r/>
      <w:bookmarkEnd w:id="48"/>
      <w:r/>
      <w:bookmarkEnd w:id="49"/>
      <w:r>
        <w:rPr>
          <w:rFonts w:hint="eastAsia" w:ascii="黑体" w:hAnsi="Times New Roman" w:eastAsia="黑体"/>
          <w:bCs/>
          <w:sz w:val="44"/>
          <w:szCs w:val="28"/>
        </w:rPr>
        <w:t xml:space="preserve">文本</w:t>
      </w:r>
      <w:r/>
    </w:p>
    <w:p>
      <w:pPr>
        <w:ind w:firstLine="480"/>
        <w:spacing w:line="500" w:lineRule="exact"/>
        <w:rPr>
          <w:rFonts w:hint="eastAsia" w:ascii="宋体" w:hAnsi="宋体"/>
          <w:b/>
          <w:sz w:val="30"/>
          <w:szCs w:val="21"/>
        </w:rPr>
      </w:pPr>
      <w:r/>
      <w:bookmarkStart w:id="170" w:name="_Toc513029243"/>
      <w:r/>
      <w:bookmarkStart w:id="171" w:name="_Toc20823315"/>
      <w:r/>
      <w:bookmarkStart w:id="172" w:name="_Toc16938559"/>
      <w:r>
        <w:rPr>
          <w:rFonts w:hint="eastAsia" w:ascii="宋体" w:hAnsi="宋体"/>
          <w:bCs/>
          <w:sz w:val="24"/>
          <w:szCs w:val="21"/>
        </w:rPr>
        <w:t xml:space="preserve">以下为成交后签定本项目合同的通用条款，成交供应商不得提出实质性的修改。</w:t>
      </w:r>
      <w:bookmarkEnd w:id="170"/>
      <w:r/>
      <w:bookmarkEnd w:id="171"/>
      <w:r/>
      <w:bookmarkEnd w:id="172"/>
      <w:r/>
      <w:r/>
    </w:p>
    <w:p>
      <w:pPr>
        <w:ind w:firstLine="480"/>
        <w:spacing w:line="440" w:lineRule="exact"/>
        <w:rPr>
          <w:rFonts w:ascii="宋体" w:hAnsi="宋体"/>
          <w:sz w:val="24"/>
        </w:rPr>
      </w:pPr>
      <w:r/>
      <w:bookmarkStart w:id="173" w:name="_Hlt16619369"/>
      <w:r/>
      <w:bookmarkEnd w:id="173"/>
      <w:r/>
      <w:bookmarkStart w:id="174" w:name="_Hlt16619350"/>
      <w:r/>
      <w:bookmarkStart w:id="175" w:name="_Toc16938590"/>
      <w:r/>
      <w:bookmarkStart w:id="176" w:name="_Toc120614244"/>
      <w:r/>
      <w:bookmarkStart w:id="177" w:name="_Toc20823346"/>
      <w:r/>
      <w:bookmarkStart w:id="178" w:name="_Toc462564139"/>
      <w:r/>
      <w:bookmarkStart w:id="179" w:name="_Toc479757211"/>
      <w:r>
        <w:rPr>
          <w:rFonts w:hint="eastAsia" w:ascii="宋体" w:hAnsi="宋体"/>
          <w:sz w:val="24"/>
        </w:rPr>
        <w:t xml:space="preserve">甲方（采购人）：     </w:t>
      </w:r>
      <w:r/>
    </w:p>
    <w:p>
      <w:pPr>
        <w:ind w:firstLine="480"/>
        <w:spacing w:line="440" w:lineRule="exact"/>
        <w:rPr>
          <w:rFonts w:ascii="宋体" w:hAnsi="宋体"/>
          <w:sz w:val="24"/>
        </w:rPr>
      </w:pPr>
      <w:r>
        <w:rPr>
          <w:rFonts w:hint="eastAsia" w:ascii="宋体" w:hAnsi="宋体"/>
          <w:sz w:val="24"/>
        </w:rPr>
        <w:t xml:space="preserve">乙方（供应商）：                  </w:t>
      </w:r>
      <w:r/>
    </w:p>
    <w:p>
      <w:pPr>
        <w:ind w:firstLine="480"/>
        <w:spacing w:line="440" w:lineRule="exact"/>
        <w:rPr>
          <w:rFonts w:ascii="宋体" w:hAnsi="宋体"/>
          <w:sz w:val="24"/>
        </w:rPr>
      </w:pPr>
      <w:r>
        <w:rPr>
          <w:rFonts w:hint="eastAsia" w:ascii="宋体" w:hAnsi="宋体"/>
          <w:sz w:val="24"/>
        </w:rPr>
        <w:t xml:space="preserve">响水县民政局的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w:t>
      </w:r>
      <w:r>
        <w:rPr>
          <w:rFonts w:ascii="宋体" w:hAnsi="宋体"/>
          <w:sz w:val="24"/>
        </w:rPr>
        <w:t xml:space="preserve">（项目编号：</w:t>
      </w:r>
      <w:r>
        <w:rPr>
          <w:rFonts w:ascii="宋体" w:hAnsi="宋体"/>
          <w:sz w:val="24"/>
          <w:u w:val="single"/>
        </w:rPr>
        <w:t xml:space="preserve">                </w:t>
      </w:r>
      <w:r>
        <w:rPr>
          <w:rFonts w:ascii="宋体" w:hAnsi="宋体"/>
          <w:sz w:val="24"/>
        </w:rPr>
        <w:t xml:space="preserve">）招标活动，确认乙方为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成交供应商</w:t>
      </w:r>
      <w:r>
        <w:rPr>
          <w:rFonts w:ascii="宋体" w:hAnsi="宋体"/>
          <w:sz w:val="24"/>
        </w:rPr>
        <w:t xml:space="preserve">。依据《中华人民共和国</w:t>
      </w:r>
      <w:r>
        <w:rPr>
          <w:rFonts w:hint="eastAsia" w:ascii="宋体" w:hAnsi="宋体"/>
          <w:sz w:val="24"/>
        </w:rPr>
        <w:t xml:space="preserve">民法典</w:t>
      </w:r>
      <w:r>
        <w:rPr>
          <w:rFonts w:ascii="宋体" w:hAnsi="宋体"/>
          <w:sz w:val="24"/>
        </w:rPr>
        <w:t xml:space="preserve">》和其他有关法规，经甲、乙双方协商，现就有关事项达成如下合同，双方同意严格执行本合同规定的所有条款。</w:t>
      </w:r>
      <w:r/>
    </w:p>
    <w:p>
      <w:pPr>
        <w:ind w:firstLine="482"/>
        <w:spacing w:line="420" w:lineRule="exact"/>
        <w:rPr>
          <w:rFonts w:ascii="宋体" w:hAnsi="宋体"/>
          <w:b/>
          <w:bCs/>
          <w:sz w:val="24"/>
        </w:rPr>
      </w:pPr>
      <w:r>
        <w:rPr>
          <w:rFonts w:hint="eastAsia" w:ascii="宋体" w:hAnsi="宋体"/>
          <w:b/>
          <w:bCs/>
          <w:sz w:val="24"/>
        </w:rPr>
        <w:t xml:space="preserve">一、定义</w:t>
      </w:r>
      <w:r/>
    </w:p>
    <w:p>
      <w:pPr>
        <w:ind w:firstLine="480"/>
        <w:spacing w:line="440" w:lineRule="exact"/>
        <w:rPr>
          <w:rFonts w:ascii="宋体" w:hAnsi="宋体"/>
          <w:sz w:val="24"/>
        </w:rPr>
      </w:pPr>
      <w:r>
        <w:rPr>
          <w:rFonts w:hint="eastAsia" w:ascii="宋体" w:hAnsi="宋体"/>
          <w:sz w:val="24"/>
        </w:rPr>
        <w:t xml:space="preserve">本合同中的下列术语应解释为：</w:t>
      </w:r>
      <w:r/>
    </w:p>
    <w:p>
      <w:pPr>
        <w:ind w:firstLine="480"/>
        <w:spacing w:line="440" w:lineRule="exact"/>
        <w:rPr>
          <w:rFonts w:ascii="宋体" w:hAnsi="宋体"/>
          <w:sz w:val="24"/>
        </w:rPr>
      </w:pPr>
      <w:r>
        <w:rPr>
          <w:rFonts w:hint="eastAsia" w:ascii="宋体" w:hAnsi="宋体"/>
          <w:sz w:val="24"/>
        </w:rPr>
        <w:t xml:space="preserve">1、“合同”系指甲方与乙方签署的、合同条款中载明的甲方与乙方所达成的协议，包括所有的附件、附录和构成合同的所有文件。</w:t>
      </w:r>
      <w:r/>
    </w:p>
    <w:p>
      <w:pPr>
        <w:ind w:firstLine="480"/>
        <w:spacing w:line="440" w:lineRule="exact"/>
        <w:rPr>
          <w:rFonts w:ascii="宋体" w:hAnsi="宋体"/>
          <w:sz w:val="24"/>
        </w:rPr>
      </w:pPr>
      <w:r>
        <w:rPr>
          <w:rFonts w:hint="eastAsia" w:ascii="宋体" w:hAnsi="宋体"/>
          <w:sz w:val="24"/>
        </w:rPr>
        <w:t xml:space="preserve">2、“货物”系指乙方根据合同规定须向甲方提供的一切有关响水县民政局2024年爱心守护项目中工具、设备、手册、技术资料及其他相关材料。</w:t>
      </w:r>
      <w:r/>
    </w:p>
    <w:p>
      <w:pPr>
        <w:ind w:firstLine="480"/>
        <w:spacing w:line="440" w:lineRule="exact"/>
        <w:rPr>
          <w:rFonts w:ascii="宋体" w:hAnsi="宋体"/>
          <w:sz w:val="24"/>
        </w:rPr>
      </w:pPr>
      <w:r>
        <w:rPr>
          <w:rFonts w:hint="eastAsia" w:ascii="宋体" w:hAnsi="宋体"/>
          <w:sz w:val="24"/>
        </w:rPr>
        <w:t xml:space="preserve">3、“服务”系指根据合同规定乙方须承担与运维有关的所有辅助服务，比如提供技术援助、培训和其他类似的乙方应承担的义务。</w:t>
      </w:r>
      <w:r/>
    </w:p>
    <w:p>
      <w:pPr>
        <w:ind w:firstLine="480"/>
        <w:spacing w:line="440" w:lineRule="exact"/>
        <w:rPr>
          <w:rFonts w:ascii="宋体" w:hAnsi="宋体"/>
          <w:sz w:val="24"/>
        </w:rPr>
      </w:pPr>
      <w:r>
        <w:rPr>
          <w:rFonts w:hint="eastAsia" w:ascii="宋体" w:hAnsi="宋体"/>
          <w:sz w:val="24"/>
        </w:rPr>
        <w:t xml:space="preserve">4、签订合同文件的依据</w:t>
      </w:r>
      <w:r/>
    </w:p>
    <w:p>
      <w:pPr>
        <w:ind w:firstLine="480"/>
        <w:spacing w:line="440" w:lineRule="exact"/>
        <w:rPr>
          <w:rFonts w:ascii="宋体" w:hAnsi="宋体"/>
          <w:sz w:val="24"/>
        </w:rPr>
      </w:pPr>
      <w:r>
        <w:rPr>
          <w:rFonts w:hint="eastAsia" w:ascii="宋体" w:hAnsi="宋体"/>
          <w:sz w:val="24"/>
        </w:rPr>
        <w:t xml:space="preserve">（1）合同签订后双方有关项目的洽商、变更等书面协议或文件；</w:t>
      </w:r>
      <w:r/>
    </w:p>
    <w:p>
      <w:pPr>
        <w:ind w:firstLine="480"/>
        <w:spacing w:line="440" w:lineRule="exact"/>
        <w:rPr>
          <w:rFonts w:ascii="宋体" w:hAnsi="宋体"/>
          <w:sz w:val="24"/>
        </w:rPr>
      </w:pPr>
      <w:r>
        <w:rPr>
          <w:rFonts w:hint="eastAsia" w:ascii="宋体" w:hAnsi="宋体"/>
          <w:sz w:val="24"/>
        </w:rPr>
        <w:t xml:space="preserve">（2）甲方的《招标文件》（</w:t>
      </w:r>
      <w:r>
        <w:rPr>
          <w:rFonts w:ascii="宋体" w:hAnsi="宋体"/>
          <w:sz w:val="24"/>
        </w:rPr>
        <w:t xml:space="preserve">项目编号</w:t>
      </w:r>
      <w:r>
        <w:rPr>
          <w:rFonts w:hint="eastAsia" w:ascii="宋体" w:hAnsi="宋体"/>
          <w:sz w:val="24"/>
        </w:rPr>
        <w:t xml:space="preserve">）以及相关的补充文件；</w:t>
      </w:r>
      <w:r/>
    </w:p>
    <w:p>
      <w:pPr>
        <w:ind w:firstLine="480"/>
        <w:spacing w:line="440" w:lineRule="exact"/>
        <w:rPr>
          <w:rFonts w:ascii="宋体" w:hAnsi="宋体"/>
          <w:sz w:val="24"/>
        </w:rPr>
      </w:pPr>
      <w:r>
        <w:rPr>
          <w:rFonts w:hint="eastAsia" w:ascii="宋体" w:hAnsi="宋体"/>
          <w:sz w:val="24"/>
        </w:rPr>
        <w:t xml:space="preserve">（3）乙方所有的投标文件及澄清文件；</w:t>
      </w:r>
      <w:r/>
    </w:p>
    <w:p>
      <w:pPr>
        <w:ind w:firstLine="480"/>
        <w:spacing w:line="440" w:lineRule="exact"/>
        <w:rPr>
          <w:rFonts w:ascii="宋体" w:hAnsi="宋体"/>
          <w:sz w:val="24"/>
        </w:rPr>
      </w:pPr>
      <w:r>
        <w:rPr>
          <w:rFonts w:hint="eastAsia" w:ascii="宋体" w:hAnsi="宋体"/>
          <w:sz w:val="24"/>
        </w:rPr>
        <w:t xml:space="preserve">（4）成交（中标）通知书；</w:t>
      </w:r>
      <w:r/>
    </w:p>
    <w:p>
      <w:pPr>
        <w:ind w:firstLine="480"/>
        <w:spacing w:line="440" w:lineRule="exact"/>
        <w:rPr>
          <w:rFonts w:ascii="宋体" w:hAnsi="宋体"/>
          <w:sz w:val="24"/>
        </w:rPr>
      </w:pPr>
      <w:r>
        <w:rPr>
          <w:rFonts w:hint="eastAsia" w:ascii="宋体" w:hAnsi="宋体"/>
          <w:sz w:val="24"/>
        </w:rPr>
        <w:t xml:space="preserve">（5）标准、规范及有关技术文件</w:t>
      </w:r>
      <w:r/>
    </w:p>
    <w:p>
      <w:pPr>
        <w:ind w:firstLine="480"/>
        <w:spacing w:line="440" w:lineRule="exact"/>
        <w:rPr>
          <w:rFonts w:ascii="宋体" w:hAnsi="宋体"/>
          <w:sz w:val="24"/>
        </w:rPr>
      </w:pPr>
      <w:r>
        <w:rPr>
          <w:rFonts w:hint="eastAsia" w:ascii="宋体" w:hAnsi="宋体"/>
          <w:sz w:val="24"/>
        </w:rPr>
        <w:t xml:space="preserve">（6）合同附件：含乙方投标文件、以及投标文件中的各类服务承诺、产品配置情况成果文件、技术说明文件等。</w:t>
      </w:r>
      <w:r/>
    </w:p>
    <w:p>
      <w:pPr>
        <w:ind w:firstLine="480"/>
        <w:spacing w:line="440" w:lineRule="exact"/>
        <w:rPr>
          <w:rFonts w:ascii="宋体" w:hAnsi="宋体"/>
          <w:sz w:val="24"/>
        </w:rPr>
      </w:pPr>
      <w:r>
        <w:rPr>
          <w:rFonts w:hint="eastAsia" w:ascii="宋体" w:hAnsi="宋体"/>
          <w:sz w:val="24"/>
        </w:rPr>
        <w:t xml:space="preserve">二、</w:t>
      </w:r>
      <w:r>
        <w:rPr>
          <w:rFonts w:hint="eastAsia" w:ascii="宋体" w:hAnsi="宋体"/>
          <w:b/>
          <w:sz w:val="24"/>
        </w:rPr>
        <w:t xml:space="preserve">合同金额</w:t>
      </w:r>
      <w:r/>
    </w:p>
    <w:p>
      <w:pPr>
        <w:ind w:firstLine="480"/>
        <w:spacing w:line="440" w:lineRule="exact"/>
        <w:rPr>
          <w:rFonts w:ascii="宋体" w:hAnsi="宋体"/>
          <w:sz w:val="24"/>
        </w:rPr>
      </w:pPr>
      <w:r>
        <w:rPr>
          <w:rFonts w:hint="eastAsia" w:ascii="宋体" w:hAnsi="宋体"/>
          <w:sz w:val="24"/>
        </w:rPr>
        <w:t xml:space="preserve">1、本合同含税总金额为（大写）：___________圆（____元）人民币或其他币种。上述合同金额包括但不限于前期调查、评估、设计服务的费用、投标产品价格、运输费、安装调试运维费、检测验收费、培训费、居家上门服务费、管理费、利润、税金等所发生的不可预见费及其它相关费用等一切应有费用。凡漏项或少计或多提供服务均视为优惠，采购人不另行增加费用。各类风险和政策性调整等风险已包括在投标报价中，结算时除合同约定调整外一律不予调整。</w:t>
      </w:r>
      <w:r/>
    </w:p>
    <w:p>
      <w:pPr>
        <w:ind w:firstLine="482"/>
        <w:jc w:val="left"/>
        <w:spacing w:line="360" w:lineRule="auto"/>
        <w:widowControl/>
        <w:rPr>
          <w:rFonts w:hint="eastAsia" w:cs="宋体"/>
          <w:sz w:val="24"/>
          <w:lang w:bidi="ar"/>
        </w:rPr>
      </w:pPr>
      <w:r>
        <w:rPr>
          <w:rFonts w:hint="eastAsia" w:cs="宋体"/>
          <w:sz w:val="24"/>
          <w:lang w:bidi="ar"/>
        </w:rPr>
        <w:t xml:space="preserve">（</w:t>
      </w:r>
      <w:r>
        <w:rPr>
          <w:rFonts w:hint="eastAsia" w:cs="宋体"/>
          <w:sz w:val="24"/>
          <w:lang w:val="en-US" w:eastAsia="zh-CN" w:bidi="ar"/>
        </w:rPr>
        <w:t xml:space="preserve">1</w:t>
      </w:r>
      <w:r>
        <w:rPr>
          <w:rFonts w:hint="eastAsia" w:cs="宋体"/>
          <w:sz w:val="24"/>
          <w:lang w:bidi="ar"/>
        </w:rPr>
        <w:t xml:space="preserve">）本项目采用总承包方式，</w:t>
      </w:r>
      <w:r>
        <w:rPr>
          <w:rFonts w:hint="eastAsia" w:cs="宋体"/>
          <w:sz w:val="24"/>
          <w:lang w:eastAsia="zh-CN" w:bidi="ar"/>
        </w:rPr>
        <w:t xml:space="preserve">供应商</w:t>
      </w:r>
      <w:r>
        <w:rPr>
          <w:rFonts w:hint="eastAsia" w:cs="宋体"/>
          <w:sz w:val="24"/>
          <w:lang w:bidi="ar"/>
        </w:rPr>
        <w:t xml:space="preserve">的报价应包括但不限于前期调查、评估、设计服务的费用、投标产品价格、运输费、安装调试运维费、检测验收费、培训费、居家上门服务费、管理费、利润、税金等所发生的不可预见费及其它相关费用等一切应有费用。上述报价中已包括本项目招标代理费，均由</w:t>
      </w:r>
      <w:r>
        <w:rPr>
          <w:rFonts w:hint="eastAsia" w:cs="宋体"/>
          <w:sz w:val="24"/>
          <w:lang w:eastAsia="zh-CN" w:bidi="ar"/>
        </w:rPr>
        <w:t xml:space="preserve">供应商</w:t>
      </w:r>
      <w:r>
        <w:rPr>
          <w:rFonts w:hint="eastAsia" w:cs="宋体"/>
          <w:sz w:val="24"/>
          <w:lang w:bidi="ar"/>
        </w:rPr>
        <w:t xml:space="preserve">支付。凡漏项或少计或多提供服务均视为优惠，采购人不另行增加费用。各类风险和政策性调整等风险已包括在投标报价中，结算时除合同约定调整外一律不予调整。</w:t>
      </w:r>
      <w:r/>
    </w:p>
    <w:p>
      <w:pPr>
        <w:ind w:firstLine="482"/>
        <w:jc w:val="left"/>
        <w:spacing w:line="360" w:lineRule="auto"/>
        <w:widowControl/>
        <w:rPr>
          <w:rFonts w:hint="eastAsia" w:cs="宋体"/>
          <w:sz w:val="24"/>
          <w:lang w:bidi="ar"/>
        </w:rPr>
      </w:pPr>
      <w:r>
        <w:rPr>
          <w:rFonts w:hint="eastAsia" w:cs="宋体"/>
          <w:sz w:val="24"/>
          <w:lang w:bidi="ar"/>
        </w:rPr>
        <w:t xml:space="preserve">（</w:t>
      </w:r>
      <w:r>
        <w:rPr>
          <w:rFonts w:hint="eastAsia" w:cs="宋体"/>
          <w:sz w:val="24"/>
          <w:lang w:val="en-US" w:eastAsia="zh-CN" w:bidi="ar"/>
        </w:rPr>
        <w:t xml:space="preserve">2</w:t>
      </w:r>
      <w:r>
        <w:rPr>
          <w:rFonts w:hint="eastAsia" w:cs="宋体"/>
          <w:sz w:val="24"/>
          <w:lang w:bidi="ar"/>
        </w:rPr>
        <w:t xml:space="preserve">）居家上门服务采用固定</w:t>
      </w:r>
      <w:r>
        <w:rPr>
          <w:rFonts w:hint="eastAsia" w:cs="宋体"/>
          <w:sz w:val="24"/>
          <w:lang w:eastAsia="zh-CN" w:bidi="ar"/>
        </w:rPr>
        <w:t xml:space="preserve">报价</w:t>
      </w:r>
      <w:r>
        <w:rPr>
          <w:rFonts w:hint="eastAsia" w:cs="宋体"/>
          <w:sz w:val="24"/>
          <w:lang w:bidi="ar"/>
        </w:rPr>
        <w:t xml:space="preserve">，</w:t>
      </w:r>
      <w:r>
        <w:rPr>
          <w:rFonts w:hint="eastAsia" w:cs="宋体"/>
          <w:sz w:val="24"/>
          <w:lang w:eastAsia="zh-CN" w:bidi="ar"/>
        </w:rPr>
        <w:t xml:space="preserve">系统内报价统一填写</w:t>
      </w:r>
      <w:r>
        <w:rPr>
          <w:rFonts w:hint="eastAsia" w:ascii="宋体" w:hAnsi="宋体"/>
          <w:sz w:val="24"/>
          <w:szCs w:val="24"/>
          <w:lang w:val="en-US" w:eastAsia="zh-CN"/>
        </w:rPr>
        <w:t xml:space="preserve">60，结算价按照固定价格60元/人次进行结算</w:t>
      </w:r>
      <w:r>
        <w:rPr>
          <w:rFonts w:hint="eastAsia" w:cs="宋体"/>
          <w:sz w:val="24"/>
          <w:lang w:bidi="ar"/>
        </w:rPr>
        <w:t xml:space="preserve">。</w:t>
      </w:r>
      <w:r/>
    </w:p>
    <w:p>
      <w:pPr>
        <w:ind w:firstLine="482"/>
        <w:jc w:val="left"/>
        <w:spacing w:line="360" w:lineRule="auto"/>
        <w:widowControl/>
        <w:rPr>
          <w:rFonts w:hint="eastAsia" w:eastAsia="宋体" w:cs="宋体"/>
          <w:sz w:val="24"/>
          <w:lang w:eastAsia="zh-CN" w:bidi="ar"/>
        </w:rPr>
      </w:pPr>
      <w:r>
        <w:rPr>
          <w:rFonts w:hint="eastAsia" w:cs="宋体"/>
          <w:sz w:val="24"/>
          <w:lang w:eastAsia="zh-CN" w:bidi="ar"/>
        </w:rPr>
        <w:t xml:space="preserve">（</w:t>
      </w:r>
      <w:r>
        <w:rPr>
          <w:rFonts w:hint="eastAsia" w:cs="宋体"/>
          <w:sz w:val="24"/>
          <w:lang w:val="en-US" w:eastAsia="zh-CN" w:bidi="ar"/>
        </w:rPr>
        <w:t xml:space="preserve">3</w:t>
      </w:r>
      <w:r>
        <w:rPr>
          <w:rFonts w:hint="eastAsia" w:cs="宋体"/>
          <w:sz w:val="24"/>
          <w:lang w:eastAsia="zh-CN" w:bidi="ar"/>
        </w:rPr>
        <w:t xml:space="preserve">）本次项目结算均已实际发生的数量为准计算。</w:t>
      </w:r>
      <w:r/>
    </w:p>
    <w:p>
      <w:pPr>
        <w:ind w:firstLine="482"/>
        <w:jc w:val="left"/>
        <w:spacing w:line="360" w:lineRule="auto"/>
        <w:widowControl/>
        <w:rPr>
          <w:rFonts w:hint="eastAsia" w:cs="宋体"/>
          <w:sz w:val="24"/>
          <w:lang w:bidi="ar"/>
        </w:rPr>
      </w:pPr>
      <w:r>
        <w:rPr>
          <w:rFonts w:hint="eastAsia" w:cs="宋体"/>
          <w:sz w:val="24"/>
          <w:lang w:bidi="ar"/>
        </w:rPr>
        <w:t xml:space="preserve">居家上门服务每个服务对象服务</w:t>
      </w:r>
      <w:r>
        <w:rPr>
          <w:rFonts w:hint="eastAsia" w:eastAsia="宋体" w:cs="宋体"/>
          <w:sz w:val="24"/>
          <w:lang w:bidi="ar"/>
        </w:rPr>
        <w:t xml:space="preserve">30次为1人次标准。</w:t>
      </w:r>
      <w:r/>
    </w:p>
    <w:p>
      <w:pPr>
        <w:ind w:firstLine="482"/>
        <w:jc w:val="left"/>
        <w:spacing w:line="360" w:lineRule="auto"/>
        <w:widowControl/>
        <w:rPr>
          <w:rFonts w:hAnsi="宋体"/>
          <w:sz w:val="24"/>
        </w:rPr>
      </w:pPr>
      <w:r>
        <w:rPr>
          <w:rFonts w:hint="eastAsia" w:cs="宋体"/>
          <w:sz w:val="24"/>
          <w:lang w:bidi="ar"/>
        </w:rPr>
        <w:t xml:space="preserve">2、乙方已充分考虑本项目合同实施期间可能发生的一切费用，并承担由此而带来的风险。凡乙方在投标文件中未列明但又为本项目所必备的项目或遗漏项目，甲方将一律视为已包括合同总价中，在合同执行中将不予考虑，凡漏项或少计均视为优惠，甲方不另行增加费用。</w:t>
      </w:r>
      <w:r/>
    </w:p>
    <w:p>
      <w:pPr>
        <w:ind w:firstLine="479"/>
        <w:spacing w:line="420" w:lineRule="exact"/>
        <w:rPr>
          <w:rFonts w:ascii="宋体" w:hAnsi="宋体"/>
          <w:sz w:val="24"/>
        </w:rPr>
      </w:pPr>
      <w:r>
        <w:rPr>
          <w:rFonts w:hint="eastAsia" w:ascii="宋体" w:hAnsi="宋体"/>
          <w:b/>
          <w:bCs/>
          <w:sz w:val="24"/>
        </w:rPr>
        <w:t xml:space="preserve">三、税费</w:t>
      </w:r>
      <w:r/>
    </w:p>
    <w:p>
      <w:pPr>
        <w:spacing w:line="440" w:lineRule="exact"/>
        <w:rPr>
          <w:rFonts w:ascii="宋体" w:hAnsi="宋体"/>
          <w:sz w:val="24"/>
        </w:rPr>
      </w:pPr>
      <w:r>
        <w:rPr>
          <w:rFonts w:hint="eastAsia" w:ascii="宋体" w:hAnsi="宋体"/>
          <w:sz w:val="24"/>
        </w:rPr>
        <w:t xml:space="preserve"> </w:t>
      </w:r>
      <w:r>
        <w:rPr>
          <w:rFonts w:hint="eastAsia" w:ascii="宋体" w:hAnsi="宋体"/>
          <w:sz w:val="24"/>
        </w:rPr>
        <w:tab/>
      </w:r>
      <w:r>
        <w:rPr>
          <w:rFonts w:hint="eastAsia" w:ascii="宋体" w:hAnsi="宋体"/>
          <w:sz w:val="24"/>
        </w:rPr>
        <w:t xml:space="preserve"> 1、中国政府根据现行税法规定对乙方征收的、与本合同有关的一切税费，均由乙方负担。</w:t>
      </w:r>
      <w:r/>
    </w:p>
    <w:p>
      <w:pPr>
        <w:ind w:firstLine="480"/>
        <w:spacing w:line="440" w:lineRule="exact"/>
        <w:rPr>
          <w:rFonts w:ascii="宋体" w:hAnsi="宋体"/>
          <w:sz w:val="24"/>
        </w:rPr>
      </w:pPr>
      <w:r>
        <w:rPr>
          <w:rFonts w:hint="eastAsia" w:ascii="宋体" w:hAnsi="宋体"/>
          <w:sz w:val="24"/>
        </w:rPr>
        <w:t xml:space="preserve">2、在中国境外发生的与本合同执行过程的一切税费由乙方负担。</w:t>
      </w:r>
      <w:r/>
    </w:p>
    <w:p>
      <w:pPr>
        <w:ind w:firstLine="472"/>
        <w:spacing w:line="480" w:lineRule="exact"/>
        <w:rPr>
          <w:rStyle w:val="990"/>
          <w:rFonts w:hAnsi="宋体" w:cs="宋体"/>
        </w:rPr>
      </w:pPr>
      <w:r>
        <w:rPr>
          <w:rFonts w:hint="eastAsia" w:ascii="宋体" w:hAnsi="宋体"/>
          <w:b/>
          <w:bCs/>
          <w:sz w:val="24"/>
        </w:rPr>
        <w:t xml:space="preserve">四、</w:t>
      </w:r>
      <w:r>
        <w:rPr>
          <w:rStyle w:val="990"/>
          <w:rFonts w:hint="eastAsia" w:hAnsi="宋体" w:cs="宋体"/>
          <w:b/>
        </w:rPr>
        <w:t xml:space="preserve">合同履行期限</w:t>
      </w:r>
      <w:r/>
    </w:p>
    <w:p>
      <w:pPr>
        <w:ind w:firstLine="480"/>
        <w:spacing w:line="440" w:lineRule="exact"/>
        <w:rPr>
          <w:rFonts w:ascii="Arial" w:hAnsi="Arial"/>
          <w:sz w:val="24"/>
        </w:rPr>
      </w:pPr>
      <w:r>
        <w:rPr>
          <w:rFonts w:hint="eastAsia" w:ascii="宋体" w:hAnsi="宋体"/>
          <w:sz w:val="24"/>
          <w:lang w:eastAsia="zh-Hans"/>
        </w:rPr>
        <w:t xml:space="preserve">服务履行期限：</w:t>
      </w:r>
      <w:r>
        <w:rPr>
          <w:rFonts w:hint="eastAsia" w:ascii="宋体" w:hAnsi="宋体"/>
          <w:sz w:val="24"/>
          <w:szCs w:val="24"/>
          <w:lang w:val="en-US" w:eastAsia="zh-CN"/>
        </w:rPr>
        <w:t xml:space="preserve">居家上门服务从合同签订之日起至2026年1月底，并通过采购人验收。2026年2月将家庭养老床位建设和居家养老上门服务组织实施、任务完成、资金使用、绩效评价等情况，形成工作总结，并整理完善相关工作台账和档案资料</w:t>
      </w:r>
      <w:r>
        <w:rPr>
          <w:rFonts w:hint="eastAsia" w:ascii="宋体" w:hAnsi="宋体"/>
          <w:sz w:val="24"/>
          <w:lang w:val="en-US" w:eastAsia="zh-Hans"/>
        </w:rPr>
        <w:t xml:space="preserve">。</w:t>
      </w:r>
      <w:r/>
    </w:p>
    <w:p>
      <w:pPr>
        <w:ind w:firstLine="482"/>
        <w:spacing w:line="440" w:lineRule="exact"/>
        <w:rPr>
          <w:rFonts w:ascii="宋体" w:hAnsi="宋体"/>
          <w:b/>
          <w:bCs/>
          <w:sz w:val="24"/>
        </w:rPr>
      </w:pPr>
      <w:r>
        <w:rPr>
          <w:rFonts w:hint="eastAsia" w:ascii="宋体" w:hAnsi="宋体"/>
          <w:b/>
          <w:bCs/>
          <w:sz w:val="24"/>
        </w:rPr>
        <w:t xml:space="preserve">五、服务区域</w:t>
      </w:r>
      <w:r/>
    </w:p>
    <w:tbl>
      <w:tblPr>
        <w:tblStyle w:val="705"/>
        <w:tblW w:w="49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3102"/>
        <w:gridCol w:w="1500"/>
        <w:gridCol w:w="3799"/>
      </w:tblGrid>
      <w:tr>
        <w:trPr>
          <w:trHeight w:val="631"/>
        </w:trPr>
        <w:tc>
          <w:tcPr>
            <w:tcW w:w="331" w:type="pct"/>
            <w:vAlign w:val="center"/>
            <w:textDirection w:val="lrTb"/>
            <w:noWrap w:val="false"/>
          </w:tcPr>
          <w:p>
            <w:pPr>
              <w:pStyle w:val="989"/>
              <w:ind w:firstLine="0"/>
              <w:jc w:val="center"/>
            </w:pPr>
            <w:r>
              <w:rPr>
                <w:rFonts w:hint="eastAsia"/>
              </w:rPr>
              <w:t xml:space="preserve">序号</w:t>
            </w:r>
            <w:r/>
          </w:p>
        </w:tc>
        <w:tc>
          <w:tcPr>
            <w:tcW w:w="1723" w:type="pct"/>
            <w:vAlign w:val="center"/>
            <w:textDirection w:val="lrTb"/>
            <w:noWrap w:val="false"/>
          </w:tcPr>
          <w:p>
            <w:pPr>
              <w:pStyle w:val="989"/>
              <w:ind w:left="0" w:firstLine="0"/>
              <w:jc w:val="center"/>
              <w:rPr>
                <w:rFonts w:hint="eastAsia" w:eastAsia="宋体"/>
                <w:lang w:eastAsia="zh-CN"/>
              </w:rPr>
            </w:pPr>
            <w:r>
              <w:rPr>
                <w:rFonts w:hint="eastAsia"/>
                <w:lang w:eastAsia="zh-CN"/>
              </w:rPr>
              <w:t xml:space="preserve">区域</w:t>
            </w:r>
            <w:r/>
          </w:p>
        </w:tc>
        <w:tc>
          <w:tcPr>
            <w:tcW w:w="833" w:type="pct"/>
            <w:vAlign w:val="center"/>
            <w:textDirection w:val="lrTb"/>
            <w:noWrap w:val="false"/>
          </w:tcPr>
          <w:p>
            <w:pPr>
              <w:pStyle w:val="989"/>
              <w:ind w:firstLine="0"/>
              <w:jc w:val="center"/>
              <w:rPr>
                <w:rFonts w:hint="eastAsia" w:eastAsia="宋体"/>
                <w:lang w:eastAsia="zh-CN"/>
              </w:rPr>
            </w:pPr>
            <w:r>
              <w:rPr>
                <w:rFonts w:hint="eastAsia"/>
                <w:lang w:eastAsia="zh-CN"/>
              </w:rPr>
              <w:t xml:space="preserve">居家上门服务服务人数</w:t>
            </w:r>
            <w:r/>
          </w:p>
        </w:tc>
        <w:tc>
          <w:tcPr>
            <w:tcW w:w="2110" w:type="pct"/>
            <w:vAlign w:val="center"/>
            <w:textDirection w:val="lrTb"/>
            <w:noWrap w:val="false"/>
          </w:tcPr>
          <w:p>
            <w:pPr>
              <w:pStyle w:val="989"/>
              <w:ind w:firstLine="0"/>
              <w:jc w:val="center"/>
              <w:rPr>
                <w:rFonts w:hint="default"/>
                <w:lang w:val="en-US" w:eastAsia="zh-CN"/>
              </w:rPr>
            </w:pPr>
            <w:r>
              <w:rPr>
                <w:rFonts w:hint="eastAsia"/>
                <w:lang w:eastAsia="zh-CN"/>
              </w:rPr>
              <w:t xml:space="preserve">建设</w:t>
            </w:r>
            <w:r>
              <w:rPr>
                <w:rFonts w:hint="eastAsia"/>
                <w:lang w:val="en-US" w:eastAsia="zh-CN"/>
              </w:rPr>
              <w:t xml:space="preserve">/服务补贴标准</w:t>
            </w:r>
            <w:r/>
          </w:p>
        </w:tc>
      </w:tr>
      <w:tr>
        <w:trPr>
          <w:trHeight w:val="1551"/>
        </w:trPr>
        <w:tc>
          <w:tcPr>
            <w:tcW w:w="331" w:type="pct"/>
            <w:vAlign w:val="center"/>
            <w:textDirection w:val="lrTb"/>
            <w:noWrap w:val="false"/>
          </w:tcPr>
          <w:p>
            <w:pPr>
              <w:pStyle w:val="989"/>
              <w:ind w:firstLine="0"/>
              <w:rPr>
                <w:rFonts w:hAnsi="宋体"/>
                <w:sz w:val="24"/>
              </w:rPr>
            </w:pPr>
            <w:r>
              <w:rPr>
                <w:rFonts w:hint="eastAsia" w:hAnsi="宋体"/>
                <w:sz w:val="24"/>
              </w:rPr>
              <w:t xml:space="preserve">1</w:t>
            </w:r>
            <w:r/>
          </w:p>
        </w:tc>
        <w:tc>
          <w:tcPr>
            <w:tcW w:w="1723" w:type="pct"/>
            <w:vAlign w:val="top"/>
            <w:textDirection w:val="lrTb"/>
            <w:noWrap w:val="false"/>
          </w:tcPr>
          <w:p>
            <w:pPr>
              <w:pStyle w:val="927"/>
              <w:ind w:firstLine="0"/>
              <w:rPr>
                <w:rFonts w:hint="eastAsia" w:ascii="宋体" w:hAnsi="宋体" w:eastAsia="宋体"/>
                <w:szCs w:val="22"/>
                <w:lang w:val="en-US" w:eastAsia="zh-CN"/>
              </w:rPr>
            </w:pPr>
            <w:r>
              <w:rPr>
                <w:rFonts w:hint="eastAsia" w:ascii="宋体" w:hAnsi="宋体" w:eastAsia="Arial"/>
                <w:szCs w:val="22"/>
                <w:lang w:val="en-US" w:eastAsia="zh-CN"/>
              </w:rPr>
              <w:t xml:space="preserve">大有镇、南河镇、运河镇、黄圩镇、开发区、黄海农场</w:t>
            </w:r>
            <w:r/>
          </w:p>
        </w:tc>
        <w:tc>
          <w:tcPr>
            <w:tcW w:w="833" w:type="pct"/>
            <w:vAlign w:val="center"/>
            <w:textDirection w:val="lrTb"/>
            <w:noWrap w:val="false"/>
          </w:tcPr>
          <w:p>
            <w:pPr>
              <w:pStyle w:val="989"/>
              <w:ind w:firstLine="0"/>
              <w:jc w:val="center"/>
              <w:rPr>
                <w:rFonts w:hint="default" w:hAnsi="宋体" w:eastAsia="宋体"/>
                <w:lang w:val="en-US" w:eastAsia="zh-CN"/>
              </w:rPr>
            </w:pPr>
            <w:r>
              <w:rPr>
                <w:rFonts w:hint="eastAsia" w:hAnsi="宋体"/>
                <w:lang w:val="en-US" w:eastAsia="zh-CN"/>
              </w:rPr>
              <w:t xml:space="preserve">239</w:t>
            </w:r>
            <w:r/>
          </w:p>
        </w:tc>
        <w:tc>
          <w:tcPr>
            <w:tcW w:w="2110" w:type="pct"/>
            <w:vAlign w:val="center"/>
            <w:textDirection w:val="lrTb"/>
            <w:noWrap w:val="false"/>
          </w:tcPr>
          <w:p>
            <w:pPr>
              <w:pStyle w:val="989"/>
              <w:ind w:firstLine="0"/>
              <w:jc w:val="left"/>
              <w:rPr>
                <w:rFonts w:hint="eastAsia" w:hAnsi="宋体"/>
                <w:lang w:val="en-US" w:eastAsia="zh-CN"/>
              </w:rPr>
            </w:pPr>
            <w:r>
              <w:rPr>
                <w:rFonts w:hint="eastAsia" w:hAnsi="宋体"/>
                <w:lang w:val="en-US" w:eastAsia="zh-CN"/>
              </w:rPr>
              <w:t xml:space="preserve">居家上门服务60元/次。</w:t>
            </w:r>
            <w:r/>
          </w:p>
          <w:p>
            <w:pPr>
              <w:rPr>
                <w:rFonts w:hint="eastAsia" w:hAnsi="宋体"/>
                <w:lang w:val="en-US" w:eastAsia="zh-CN"/>
              </w:rPr>
            </w:pPr>
            <w:r>
              <w:rPr>
                <w:rFonts w:hint="eastAsia" w:hAnsi="宋体"/>
                <w:lang w:val="en-US" w:eastAsia="zh-CN"/>
              </w:rPr>
              <w:t xml:space="preserve">（本次提升行动项目提供居家养老上门服务的1人次是指项目执行时间内（2026年1月底前）须为同一位服务对象累计提供 30次以上服务，且医护人员上门服务每次不低于1小时，护理员、护工、家政上门服务每次不低于 1.5 小时，服务价格不高于60元/次。）本次项目预计为每位服务对象提供55次服务</w:t>
            </w:r>
            <w:r/>
          </w:p>
          <w:p>
            <w:pPr>
              <w:rPr>
                <w:rFonts w:hint="default" w:hAnsi="宋体"/>
                <w:lang w:val="en-US" w:eastAsia="zh-CN"/>
              </w:rPr>
            </w:pPr>
            <w:r>
              <w:rPr>
                <w:rFonts w:hint="eastAsia" w:hAnsi="宋体"/>
                <w:lang w:val="en-US" w:eastAsia="zh-CN"/>
              </w:rPr>
              <w:t xml:space="preserve">本表中户数与服务人数均为统计数据，具体结算按照实际发生的数量进行结算</w:t>
            </w:r>
            <w:r/>
          </w:p>
        </w:tc>
      </w:tr>
    </w:tbl>
    <w:p>
      <w:pPr>
        <w:pStyle w:val="724"/>
        <w:ind w:right="-113"/>
        <w:jc w:val="both"/>
        <w:spacing w:before="120" w:beforeAutospacing="0" w:after="120" w:afterAutospacing="0"/>
        <w:rPr>
          <w:rFonts w:hint="eastAsia"/>
          <w:b/>
          <w:color w:val="000000"/>
        </w:rPr>
      </w:pPr>
      <w:r>
        <w:rPr>
          <w:rFonts w:hint="eastAsia"/>
          <w:b/>
          <w:color w:val="000000"/>
        </w:rPr>
      </w:r>
      <w:r/>
    </w:p>
    <w:p>
      <w:pPr>
        <w:pStyle w:val="724"/>
        <w:ind w:right="-113" w:firstLine="482"/>
        <w:jc w:val="both"/>
        <w:spacing w:before="120" w:beforeAutospacing="0" w:after="120" w:afterAutospacing="0"/>
      </w:pPr>
      <w:r>
        <w:rPr>
          <w:rFonts w:hint="eastAsia"/>
          <w:b/>
          <w:color w:val="000000"/>
        </w:rPr>
        <w:t xml:space="preserve">六、履约保证金</w:t>
      </w:r>
      <w:r/>
    </w:p>
    <w:p>
      <w:pPr>
        <w:pStyle w:val="724"/>
        <w:ind w:left="-147" w:right="-113" w:firstLine="720"/>
        <w:jc w:val="both"/>
        <w:spacing w:before="120" w:beforeAutospacing="0" w:after="120" w:afterAutospacing="0"/>
        <w:rPr>
          <w:color w:val="000000"/>
        </w:rPr>
      </w:pPr>
      <w:r>
        <w:rPr>
          <w:rFonts w:hint="eastAsia"/>
          <w:color w:val="000000"/>
          <w:lang w:val="en-US" w:eastAsia="zh-CN"/>
        </w:rPr>
        <w:t xml:space="preserve">1、</w:t>
      </w:r>
      <w:r>
        <w:rPr>
          <w:rFonts w:hint="eastAsia"/>
          <w:color w:val="000000"/>
        </w:rPr>
        <w:t xml:space="preserve">乙方交纳人民币</w:t>
      </w:r>
      <w:r>
        <w:rPr>
          <w:rFonts w:hint="eastAsia"/>
          <w:color w:val="000000"/>
          <w:u w:val="single"/>
        </w:rPr>
        <w:t xml:space="preserve">（</w:t>
      </w:r>
      <w:r>
        <w:rPr>
          <w:color w:val="000000"/>
          <w:u w:val="single"/>
        </w:rPr>
        <w:t xml:space="preserve">中标金额的</w:t>
      </w:r>
      <w:r>
        <w:rPr>
          <w:rFonts w:hint="eastAsia"/>
          <w:color w:val="000000"/>
          <w:u w:val="single"/>
        </w:rPr>
        <w:t xml:space="preserve">10</w:t>
      </w:r>
      <w:r>
        <w:rPr>
          <w:color w:val="000000"/>
          <w:u w:val="single"/>
        </w:rPr>
        <w:t xml:space="preserve">%</w:t>
      </w:r>
      <w:r>
        <w:rPr>
          <w:rFonts w:hint="eastAsia"/>
          <w:color w:val="000000"/>
          <w:u w:val="single"/>
        </w:rPr>
        <w:t xml:space="preserve">）</w:t>
      </w:r>
      <w:r>
        <w:rPr>
          <w:rFonts w:hint="eastAsia"/>
          <w:color w:val="000000"/>
        </w:rPr>
        <w:t xml:space="preserve">元作为本合同的履约保证金。</w:t>
      </w:r>
      <w:r/>
    </w:p>
    <w:p>
      <w:pPr>
        <w:pStyle w:val="711"/>
        <w:ind w:left="-147" w:right="-113" w:firstLine="630"/>
        <w:spacing w:before="120" w:after="120" w:line="360" w:lineRule="auto"/>
        <w:widowControl/>
        <w:rPr>
          <w:rFonts w:hAnsi="宋体" w:cs="宋体"/>
          <w:color w:val="7030a0"/>
        </w:rPr>
      </w:pPr>
      <w:r>
        <w:rPr>
          <w:rFonts w:hint="eastAsia" w:hAnsi="宋体" w:cs="宋体"/>
          <w:color w:val="7030a0"/>
        </w:rPr>
        <w:t xml:space="preserve">（备注：不得超过合同金额的10%，采购人应当对AA评级及以上政府采购供应商（需提供信用管理部门备案的第三方信用报告）免收履约保证金或降低履约保证金缴纳比例。</w:t>
      </w:r>
      <w:r>
        <w:rPr>
          <w:rFonts w:hint="eastAsia"/>
          <w:b/>
          <w:bCs/>
          <w:color w:val="000000"/>
          <w:sz w:val="24"/>
          <w:lang w:val="zh-CN"/>
        </w:rPr>
        <w:t xml:space="preserve">（本项目约定降低履约保证金缴纳比例，履约保证金调整为合同价的</w:t>
      </w:r>
      <w:r>
        <w:rPr>
          <w:rFonts w:hint="eastAsia"/>
          <w:b/>
          <w:bCs/>
          <w:color w:val="000000"/>
          <w:sz w:val="24"/>
        </w:rPr>
        <w:t xml:space="preserve">5%</w:t>
      </w:r>
      <w:r>
        <w:rPr>
          <w:rFonts w:hint="eastAsia"/>
          <w:b/>
          <w:bCs/>
          <w:color w:val="000000"/>
          <w:sz w:val="24"/>
          <w:lang w:val="zh-CN"/>
        </w:rPr>
        <w:t xml:space="preserve">）</w:t>
      </w:r>
      <w:r>
        <w:rPr>
          <w:rFonts w:hint="eastAsia"/>
          <w:b/>
          <w:bCs/>
          <w:color w:val="000000"/>
          <w:sz w:val="24"/>
        </w:rPr>
        <w:t xml:space="preserve">。</w:t>
      </w:r>
      <w:r/>
    </w:p>
    <w:p>
      <w:pPr>
        <w:pStyle w:val="724"/>
        <w:ind w:left="-147" w:right="-113" w:firstLine="720"/>
        <w:jc w:val="both"/>
        <w:spacing w:before="120" w:beforeAutospacing="0" w:after="120" w:afterAutospacing="0"/>
      </w:pPr>
      <w:r>
        <w:rPr>
          <w:rFonts w:hint="eastAsia"/>
          <w:lang w:val="en-US" w:eastAsia="zh-CN"/>
        </w:rPr>
        <w:t xml:space="preserve">2、</w:t>
      </w:r>
      <w:r>
        <w:rPr>
          <w:rFonts w:hint="eastAsia"/>
        </w:rPr>
        <w:t xml:space="preserve">确需收取履约保证金的，履约保证金的缴纳形式：</w:t>
      </w:r>
      <w:r/>
    </w:p>
    <w:p>
      <w:pPr>
        <w:pStyle w:val="724"/>
        <w:ind w:left="-147" w:right="-113" w:firstLine="720"/>
        <w:jc w:val="both"/>
        <w:spacing w:before="120" w:beforeAutospacing="0" w:after="120" w:afterAutospacing="0" w:line="500" w:lineRule="exact"/>
      </w:pPr>
      <w:r>
        <w:rPr>
          <w:rFonts w:hint="eastAsia"/>
        </w:rPr>
        <w:t xml:space="preserve">2.1</w:t>
      </w:r>
      <w:r>
        <w:rPr>
          <w:rFonts w:hint="eastAsia"/>
          <w:lang w:eastAsia="zh-CN"/>
        </w:rPr>
        <w:t xml:space="preserve">、</w:t>
      </w:r>
      <w:r>
        <w:rPr>
          <w:rFonts w:hint="eastAsi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4"/>
        <w:ind w:left="-147" w:right="-113" w:firstLine="720"/>
        <w:jc w:val="both"/>
        <w:spacing w:before="120" w:beforeAutospacing="0" w:after="120" w:afterAutospacing="0" w:line="500" w:lineRule="exact"/>
      </w:pPr>
      <w:r>
        <w:rPr>
          <w:rFonts w:hint="eastAsia"/>
        </w:rPr>
        <w:t xml:space="preserve">2.2</w:t>
      </w:r>
      <w:r>
        <w:rPr>
          <w:rFonts w:hint="eastAsia"/>
          <w:lang w:eastAsia="zh-CN"/>
        </w:rPr>
        <w:t xml:space="preserve">、</w:t>
      </w:r>
      <w:r>
        <w:rPr>
          <w:rFonts w:hint="eastAsia"/>
        </w:rPr>
        <w:t xml:space="preserve"> 如以履约保函（保险）形式缴纳履约保证金，供应商可通过政府采购电子履约保函（保险）平台（www.jsdzbh.com）在线申请履约保函（保险）。</w:t>
      </w:r>
      <w:r/>
    </w:p>
    <w:p>
      <w:pPr>
        <w:pStyle w:val="724"/>
        <w:ind w:left="298" w:right="-113" w:firstLine="252"/>
        <w:jc w:val="both"/>
        <w:spacing w:before="120" w:beforeAutospacing="0" w:after="120" w:afterAutospacing="0"/>
      </w:pPr>
      <w:r>
        <w:rPr>
          <w:rFonts w:hint="eastAsia"/>
        </w:rPr>
        <w:t xml:space="preserve">3</w:t>
      </w:r>
      <w:r>
        <w:rPr>
          <w:rFonts w:hint="eastAsia"/>
          <w:lang w:eastAsia="zh-CN"/>
        </w:rPr>
        <w:t xml:space="preserve">、</w:t>
      </w:r>
      <w:r>
        <w:rPr>
          <w:rFonts w:hint="eastAsia"/>
        </w:rPr>
        <w:t xml:space="preserve">合同履行结束后，甲方应及时退还交纳的履约保证金。</w:t>
      </w:r>
      <w:r/>
    </w:p>
    <w:p>
      <w:pPr>
        <w:ind w:left="-147" w:right="-113" w:firstLine="720"/>
        <w:spacing w:line="360" w:lineRule="auto"/>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lang w:eastAsia="zh-CN"/>
        </w:rPr>
        <w:t xml:space="preserve">、</w:t>
      </w:r>
      <w:r>
        <w:rPr>
          <w:rFonts w:hint="eastAsia" w:ascii="宋体" w:hAnsi="宋体" w:cs="宋体"/>
          <w:color w:val="000000"/>
          <w:sz w:val="24"/>
        </w:rPr>
        <w:t xml:space="preserve">履约保证金的退还：</w:t>
      </w:r>
      <w:r/>
    </w:p>
    <w:p>
      <w:pPr>
        <w:ind w:left="-147" w:right="-113" w:firstLine="720"/>
        <w:spacing w:line="360" w:lineRule="auto"/>
        <w:rPr>
          <w:rFonts w:ascii="宋体" w:hAnsi="宋体" w:cs="宋体"/>
          <w:color w:val="000000"/>
          <w:sz w:val="24"/>
        </w:rPr>
      </w:pPr>
      <w:r>
        <w:rPr>
          <w:rFonts w:hint="eastAsia" w:ascii="宋体" w:hAnsi="宋体" w:cs="宋体"/>
          <w:color w:val="000000"/>
          <w:sz w:val="24"/>
        </w:rPr>
        <w:t xml:space="preserve">4.1</w:t>
      </w:r>
      <w:r>
        <w:rPr>
          <w:rFonts w:hint="eastAsia" w:ascii="宋体" w:hAnsi="宋体" w:cs="宋体"/>
          <w:color w:val="000000"/>
          <w:sz w:val="24"/>
          <w:lang w:eastAsia="zh-CN"/>
        </w:rPr>
        <w:t xml:space="preserve">、</w:t>
      </w:r>
      <w:r>
        <w:rPr>
          <w:rFonts w:hint="eastAsia" w:ascii="宋体" w:hAnsi="宋体" w:cs="宋体"/>
          <w:color w:val="000000"/>
          <w:sz w:val="24"/>
        </w:rPr>
        <w:t xml:space="preserve">方式：无息退还至</w:t>
      </w:r>
      <w:r>
        <w:rPr>
          <w:rFonts w:hint="eastAsia" w:ascii="宋体" w:hAnsi="宋体" w:cs="宋体"/>
          <w:color w:val="000000"/>
          <w:sz w:val="24"/>
          <w:lang w:eastAsia="zh-CN"/>
        </w:rPr>
        <w:t xml:space="preserve">供应商</w:t>
      </w:r>
      <w:r>
        <w:rPr>
          <w:rFonts w:hint="eastAsia" w:ascii="宋体" w:hAnsi="宋体" w:cs="宋体"/>
          <w:color w:val="000000"/>
          <w:sz w:val="24"/>
        </w:rPr>
        <w:t xml:space="preserve">缴纳履约保证金的账户。如为保函，在到期时自行失效。</w:t>
      </w:r>
      <w:r/>
    </w:p>
    <w:p>
      <w:pPr>
        <w:ind w:left="-147" w:right="-113" w:firstLine="720"/>
        <w:spacing w:line="360" w:lineRule="auto"/>
        <w:rPr>
          <w:rFonts w:ascii="宋体" w:hAnsi="宋体" w:cs="宋体"/>
          <w:color w:val="000000"/>
          <w:sz w:val="24"/>
        </w:rPr>
      </w:pPr>
      <w:r>
        <w:rPr>
          <w:rFonts w:hint="eastAsia" w:ascii="宋体" w:hAnsi="宋体" w:cs="宋体"/>
          <w:color w:val="000000"/>
          <w:sz w:val="24"/>
        </w:rPr>
        <w:t xml:space="preserve">4.2</w:t>
      </w:r>
      <w:r>
        <w:rPr>
          <w:rFonts w:hint="eastAsia" w:ascii="宋体" w:hAnsi="宋体" w:cs="宋体"/>
          <w:color w:val="000000"/>
          <w:sz w:val="24"/>
          <w:lang w:eastAsia="zh-CN"/>
        </w:rPr>
        <w:t xml:space="preserve">、</w:t>
      </w:r>
      <w:r>
        <w:rPr>
          <w:rFonts w:hint="eastAsia" w:ascii="宋体" w:hAnsi="宋体" w:cs="宋体"/>
          <w:color w:val="000000"/>
          <w:sz w:val="24"/>
        </w:rPr>
        <w:t xml:space="preserve">时间：验收合格且采购人收到发票后30日内。</w:t>
      </w:r>
      <w:r/>
    </w:p>
    <w:p>
      <w:pPr>
        <w:ind w:left="-147" w:right="-113" w:firstLine="720"/>
        <w:spacing w:line="360" w:lineRule="auto"/>
        <w:rPr>
          <w:rFonts w:ascii="宋体" w:hAnsi="宋体" w:cs="宋体"/>
          <w:color w:val="000000"/>
          <w:sz w:val="24"/>
        </w:rPr>
      </w:pPr>
      <w:r>
        <w:rPr>
          <w:rFonts w:hint="eastAsia" w:ascii="宋体" w:hAnsi="宋体" w:cs="宋体"/>
          <w:color w:val="000000"/>
          <w:sz w:val="24"/>
        </w:rPr>
        <w:t xml:space="preserve">4.3</w:t>
      </w:r>
      <w:r>
        <w:rPr>
          <w:rFonts w:hint="eastAsia" w:ascii="宋体" w:hAnsi="宋体" w:cs="宋体"/>
          <w:color w:val="000000"/>
          <w:sz w:val="24"/>
          <w:lang w:eastAsia="zh-CN"/>
        </w:rPr>
        <w:t xml:space="preserve">、</w:t>
      </w:r>
      <w:r>
        <w:rPr>
          <w:rFonts w:hint="eastAsia" w:ascii="宋体" w:hAnsi="宋体" w:cs="宋体"/>
          <w:color w:val="000000"/>
          <w:sz w:val="24"/>
        </w:rPr>
        <w:t xml:space="preserve">条件：按合同要求全部履约完成并经采购人验收合格，且采购人收到</w:t>
      </w:r>
      <w:r>
        <w:rPr>
          <w:rFonts w:hint="eastAsia" w:ascii="宋体" w:hAnsi="宋体" w:cs="宋体"/>
          <w:color w:val="000000"/>
          <w:sz w:val="24"/>
          <w:lang w:eastAsia="zh-CN"/>
        </w:rPr>
        <w:t xml:space="preserve">供应商</w:t>
      </w:r>
      <w:r>
        <w:rPr>
          <w:rFonts w:hint="eastAsia" w:ascii="宋体" w:hAnsi="宋体" w:cs="宋体"/>
          <w:color w:val="000000"/>
          <w:sz w:val="24"/>
        </w:rPr>
        <w:t xml:space="preserve">出具的发票。</w:t>
      </w:r>
      <w:r/>
    </w:p>
    <w:p>
      <w:pPr>
        <w:ind w:left="-147" w:right="-113" w:firstLine="720"/>
        <w:spacing w:line="360" w:lineRule="auto"/>
        <w:rPr>
          <w:rFonts w:ascii="宋体" w:hAnsi="宋体" w:cs="宋体"/>
          <w:color w:val="000000"/>
          <w:sz w:val="24"/>
        </w:rPr>
      </w:pPr>
      <w:r>
        <w:rPr>
          <w:rFonts w:hint="eastAsia" w:ascii="宋体" w:hAnsi="宋体" w:cs="宋体"/>
          <w:color w:val="000000"/>
          <w:sz w:val="24"/>
        </w:rPr>
        <w:t xml:space="preserve">4.4</w:t>
      </w:r>
      <w:r>
        <w:rPr>
          <w:rFonts w:hint="eastAsia" w:ascii="宋体" w:hAnsi="宋体" w:cs="宋体"/>
          <w:color w:val="000000"/>
          <w:sz w:val="24"/>
          <w:lang w:eastAsia="zh-CN"/>
        </w:rPr>
        <w:t xml:space="preserve">、</w:t>
      </w:r>
      <w:r>
        <w:rPr>
          <w:rFonts w:hint="eastAsia" w:ascii="宋体" w:hAnsi="宋体" w:cs="宋体"/>
          <w:color w:val="000000"/>
          <w:sz w:val="24"/>
        </w:rPr>
        <w:t xml:space="preserve">不予退还情形：</w:t>
      </w:r>
      <w:r/>
    </w:p>
    <w:p>
      <w:pPr>
        <w:ind w:left="-147" w:right="-113" w:firstLine="720"/>
        <w:spacing w:line="360" w:lineRule="auto"/>
        <w:rPr>
          <w:rFonts w:ascii="宋体" w:hAnsi="宋体" w:cs="宋体"/>
          <w:color w:val="000000"/>
          <w:sz w:val="24"/>
        </w:rPr>
      </w:pPr>
      <w:r>
        <w:rPr>
          <w:rFonts w:hint="eastAsia" w:ascii="宋体" w:hAnsi="宋体" w:cs="宋体"/>
          <w:color w:val="000000"/>
          <w:sz w:val="24"/>
        </w:rPr>
        <w:t xml:space="preserve">除不可抗力情况外，供应商出现下列情形之一的，其履约保证金，招标人将视情节决定不予退还或部分不予退还。</w:t>
      </w:r>
      <w:r/>
    </w:p>
    <w:p>
      <w:pPr>
        <w:ind w:left="-147" w:right="-113" w:firstLine="720"/>
        <w:spacing w:line="360" w:lineRule="auto"/>
        <w:rPr>
          <w:rFonts w:ascii="宋体" w:hAnsi="宋体" w:cs="宋体"/>
          <w:color w:val="000000"/>
          <w:sz w:val="24"/>
        </w:rPr>
      </w:pPr>
      <w:r>
        <w:rPr>
          <w:rFonts w:hint="eastAsia" w:ascii="宋体" w:hAnsi="宋体" w:cs="宋体"/>
          <w:color w:val="000000"/>
          <w:sz w:val="24"/>
        </w:rPr>
        <w:t xml:space="preserve">（1）供应商无正当理由拒绝签订合同的，或者在签订合同时向采购人提出附加条件或者更改合同实质性内容要求的；</w:t>
      </w:r>
      <w:r/>
    </w:p>
    <w:p>
      <w:pPr>
        <w:ind w:left="-147" w:right="-113" w:firstLine="720"/>
        <w:spacing w:line="360" w:lineRule="auto"/>
        <w:rPr>
          <w:rFonts w:ascii="宋体" w:hAnsi="宋体" w:cs="宋体"/>
          <w:color w:val="000000"/>
          <w:sz w:val="24"/>
        </w:rPr>
      </w:pPr>
      <w:r>
        <w:rPr>
          <w:rFonts w:hint="eastAsia" w:ascii="宋体" w:hAnsi="宋体" w:cs="宋体"/>
          <w:color w:val="000000"/>
          <w:sz w:val="24"/>
        </w:rPr>
        <w:t xml:space="preserve">（2）供应商不履行与采购人订立的合同的；</w:t>
      </w:r>
      <w:r/>
    </w:p>
    <w:p>
      <w:pPr>
        <w:ind w:left="-147" w:right="-113" w:firstLine="720"/>
        <w:spacing w:line="360" w:lineRule="auto"/>
        <w:rPr>
          <w:rFonts w:ascii="宋体" w:hAnsi="宋体" w:cs="宋体"/>
          <w:color w:val="000000"/>
          <w:sz w:val="24"/>
        </w:rPr>
      </w:pPr>
      <w:r>
        <w:rPr>
          <w:rFonts w:hint="eastAsia" w:ascii="宋体" w:hAnsi="宋体" w:cs="宋体"/>
          <w:color w:val="000000"/>
          <w:sz w:val="24"/>
        </w:rPr>
        <w:t xml:space="preserve">（3）供应商所供货物或服务不符合招标文件规定要求的；</w:t>
      </w:r>
      <w:r/>
    </w:p>
    <w:p>
      <w:pPr>
        <w:ind w:left="-147" w:right="-113" w:firstLine="720"/>
        <w:spacing w:line="360" w:lineRule="auto"/>
        <w:rPr>
          <w:rFonts w:ascii="宋体" w:hAnsi="宋体" w:cs="宋体"/>
          <w:color w:val="000000"/>
          <w:sz w:val="24"/>
        </w:rPr>
      </w:pPr>
      <w:r>
        <w:rPr>
          <w:rFonts w:hint="eastAsia" w:ascii="宋体" w:hAnsi="宋体" w:cs="宋体"/>
          <w:color w:val="000000"/>
          <w:sz w:val="24"/>
        </w:rPr>
        <w:t xml:space="preserve">（4）供应商采取欺骗、弄虚作假方式投标的或与其它供应商串通投标的；</w:t>
      </w:r>
      <w:r/>
    </w:p>
    <w:p>
      <w:pPr>
        <w:ind w:left="-147" w:right="-113" w:firstLine="720"/>
        <w:spacing w:line="360" w:lineRule="auto"/>
        <w:rPr>
          <w:rFonts w:ascii="宋体" w:hAnsi="宋体" w:cs="宋体"/>
          <w:color w:val="000000"/>
          <w:sz w:val="24"/>
        </w:rPr>
      </w:pPr>
      <w:r>
        <w:rPr>
          <w:rFonts w:hint="eastAsia" w:ascii="宋体" w:hAnsi="宋体" w:cs="宋体"/>
          <w:color w:val="000000"/>
          <w:sz w:val="24"/>
        </w:rPr>
        <w:t xml:space="preserve">（5）供应商将合同内容转包、违法分包的；</w:t>
      </w:r>
      <w:r/>
    </w:p>
    <w:p>
      <w:pPr>
        <w:ind w:left="-147" w:right="-113" w:firstLine="720"/>
        <w:spacing w:line="360" w:lineRule="auto"/>
        <w:rPr>
          <w:rFonts w:ascii="宋体" w:hAnsi="宋体" w:cs="宋体"/>
          <w:color w:val="000000"/>
          <w:sz w:val="24"/>
        </w:rPr>
      </w:pPr>
      <w:r>
        <w:rPr>
          <w:rFonts w:hint="eastAsia" w:ascii="宋体" w:hAnsi="宋体" w:cs="宋体"/>
          <w:color w:val="000000"/>
          <w:sz w:val="24"/>
        </w:rPr>
        <w:t xml:space="preserve">（6）供应商故意捏造事实或伪造证明材料，进行虚假恶意投诉或反映的。</w:t>
      </w:r>
      <w:r/>
    </w:p>
    <w:p>
      <w:pPr>
        <w:ind w:left="-147" w:right="-113" w:firstLine="720"/>
        <w:spacing w:line="360" w:lineRule="auto"/>
        <w:rPr>
          <w:rFonts w:hint="eastAsia" w:ascii="宋体" w:hAnsi="宋体" w:eastAsia="宋体"/>
          <w:b/>
          <w:bCs/>
          <w:sz w:val="24"/>
          <w:lang w:eastAsia="zh-CN"/>
        </w:rPr>
      </w:pPr>
      <w:r>
        <w:rPr>
          <w:rFonts w:hint="eastAsia" w:ascii="宋体" w:hAnsi="宋体" w:cs="宋体"/>
          <w:color w:val="000000"/>
          <w:sz w:val="24"/>
        </w:rPr>
        <w:t xml:space="preserve">4.5</w:t>
      </w:r>
      <w:r>
        <w:rPr>
          <w:rFonts w:hint="eastAsia" w:ascii="宋体" w:hAnsi="宋体" w:cs="宋体"/>
          <w:color w:val="000000"/>
          <w:sz w:val="24"/>
          <w:lang w:eastAsia="zh-CN"/>
        </w:rPr>
        <w:t xml:space="preserve">、</w:t>
      </w:r>
      <w:r>
        <w:rPr>
          <w:rFonts w:hint="eastAsia" w:ascii="宋体" w:hAnsi="宋体" w:cs="宋体"/>
          <w:color w:val="000000"/>
          <w:sz w:val="24"/>
        </w:rPr>
        <w:t xml:space="preserve">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460" w:lineRule="exact"/>
        <w:rPr>
          <w:rFonts w:ascii="宋体" w:hAnsi="宋体"/>
          <w:b/>
          <w:bCs/>
          <w:sz w:val="24"/>
        </w:rPr>
      </w:pPr>
      <w:r>
        <w:rPr>
          <w:rFonts w:hint="eastAsia" w:ascii="宋体" w:hAnsi="宋体"/>
          <w:b/>
          <w:bCs/>
          <w:sz w:val="24"/>
          <w:lang w:eastAsia="zh-CN"/>
        </w:rPr>
        <w:t xml:space="preserve">七</w:t>
      </w:r>
      <w:r>
        <w:rPr>
          <w:rFonts w:hint="eastAsia" w:ascii="宋体" w:hAnsi="宋体"/>
          <w:b/>
          <w:bCs/>
          <w:sz w:val="24"/>
        </w:rPr>
        <w:t xml:space="preserve">、专利权</w:t>
      </w:r>
      <w:r/>
    </w:p>
    <w:p>
      <w:pPr>
        <w:ind w:firstLine="480"/>
        <w:spacing w:line="460" w:lineRule="exact"/>
        <w:rPr>
          <w:rFonts w:ascii="宋体" w:hAnsi="宋体"/>
          <w:sz w:val="24"/>
        </w:rPr>
      </w:pPr>
      <w:r>
        <w:rPr>
          <w:rFonts w:hint="eastAsia" w:ascii="宋体" w:hAnsi="宋体"/>
          <w:sz w:val="24"/>
        </w:rPr>
        <w:t xml:space="preserve">乙方应保证甲方在使用服务或其任何一部分时不受第三方提出侵犯其专利权、商标权、版权和工业设计权的指控。一旦出现任何第三方提出侵权指控，乙方必须与第三方交涉，并承担可能发生的全部责任。</w:t>
      </w:r>
      <w:r/>
    </w:p>
    <w:p>
      <w:pPr>
        <w:ind w:firstLine="482"/>
        <w:spacing w:line="480" w:lineRule="exact"/>
        <w:rPr>
          <w:rFonts w:ascii="宋体" w:hAnsi="宋体"/>
          <w:sz w:val="24"/>
        </w:rPr>
      </w:pPr>
      <w:r>
        <w:rPr>
          <w:rFonts w:hint="eastAsia" w:ascii="宋体" w:hAnsi="宋体"/>
          <w:b/>
          <w:bCs/>
          <w:sz w:val="24"/>
          <w:lang w:eastAsia="zh-CN"/>
        </w:rPr>
        <w:t xml:space="preserve">八</w:t>
      </w:r>
      <w:r>
        <w:rPr>
          <w:rFonts w:hint="eastAsia" w:ascii="宋体" w:hAnsi="宋体"/>
          <w:b/>
          <w:bCs/>
          <w:sz w:val="24"/>
        </w:rPr>
        <w:t xml:space="preserve">、付款</w:t>
      </w:r>
      <w:r/>
    </w:p>
    <w:p>
      <w:pPr>
        <w:ind w:firstLine="482"/>
        <w:spacing w:line="460" w:lineRule="exact"/>
        <w:rPr>
          <w:rFonts w:hint="eastAsia" w:ascii="宋体" w:hAnsi="宋体" w:cs="宋体"/>
          <w:sz w:val="24"/>
        </w:rPr>
      </w:pPr>
      <w:r>
        <w:rPr>
          <w:rFonts w:hint="eastAsia" w:ascii="宋体" w:hAnsi="宋体" w:cs="宋体"/>
          <w:sz w:val="24"/>
        </w:rPr>
        <w:t xml:space="preserve">合同签订后，采购人收到预付款发票后</w:t>
      </w:r>
      <w:r>
        <w:rPr>
          <w:rFonts w:hint="eastAsia" w:ascii="宋体" w:hAnsi="宋体" w:cs="宋体"/>
          <w:sz w:val="24"/>
          <w:lang w:val="en-US" w:eastAsia="zh-CN"/>
        </w:rPr>
        <w:t xml:space="preserve">15</w:t>
      </w:r>
      <w:r>
        <w:rPr>
          <w:rFonts w:hint="eastAsia" w:ascii="宋体" w:hAnsi="宋体" w:cs="宋体"/>
          <w:sz w:val="24"/>
        </w:rPr>
        <w:t xml:space="preserve">个工作日内，预付款支付比例：合同金额（按实际发生额）的30%</w:t>
      </w:r>
      <w:r>
        <w:rPr>
          <w:rFonts w:hint="eastAsia" w:ascii="宋体" w:hAnsi="宋体" w:cs="宋体"/>
          <w:sz w:val="24"/>
          <w:lang w:eastAsia="zh-CN"/>
        </w:rPr>
        <w:t xml:space="preserve">，项目期满，完成采购人实际交办的全部任务并经过最终验收评估合格，经第三方审计机构出具审计报告后，按审计结果付款</w:t>
      </w:r>
      <w:r>
        <w:rPr>
          <w:rFonts w:hint="eastAsia" w:ascii="宋体" w:hAnsi="宋体" w:cs="宋体"/>
          <w:sz w:val="24"/>
        </w:rPr>
        <w:t xml:space="preserve">（以上付款均无息）</w:t>
      </w:r>
      <w:r/>
    </w:p>
    <w:p>
      <w:pPr>
        <w:ind w:firstLine="482"/>
        <w:spacing w:line="460" w:lineRule="exact"/>
        <w:rPr>
          <w:rFonts w:hint="eastAsia" w:ascii="宋体" w:hAnsi="宋体" w:cs="宋体"/>
          <w:sz w:val="24"/>
        </w:rPr>
      </w:pPr>
      <w:r>
        <w:rPr>
          <w:rFonts w:hint="eastAsia" w:ascii="宋体" w:hAnsi="宋体" w:cs="宋体"/>
          <w:sz w:val="24"/>
        </w:rPr>
        <w:t xml:space="preserve">（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确定后该备注删除。）</w:t>
      </w:r>
      <w:r/>
    </w:p>
    <w:p>
      <w:pPr>
        <w:ind w:firstLine="482"/>
        <w:spacing w:line="460" w:lineRule="exact"/>
        <w:rPr>
          <w:rFonts w:ascii="宋体" w:hAnsi="宋体"/>
          <w:sz w:val="24"/>
        </w:rPr>
      </w:pPr>
      <w:r>
        <w:rPr>
          <w:rFonts w:hint="eastAsia" w:ascii="宋体" w:hAnsi="宋体"/>
          <w:b/>
          <w:sz w:val="24"/>
          <w:lang w:eastAsia="zh-CN"/>
        </w:rPr>
        <w:t xml:space="preserve">九</w:t>
      </w:r>
      <w:r>
        <w:rPr>
          <w:rFonts w:hint="eastAsia" w:ascii="宋体" w:hAnsi="宋体"/>
          <w:b/>
          <w:sz w:val="24"/>
        </w:rPr>
        <w:t xml:space="preserve">、</w:t>
      </w:r>
      <w:r>
        <w:rPr>
          <w:rFonts w:hint="eastAsia" w:ascii="宋体" w:hAnsi="宋体"/>
          <w:b/>
          <w:bCs/>
          <w:sz w:val="24"/>
        </w:rPr>
        <w:t xml:space="preserve">索赔</w:t>
      </w:r>
      <w:r/>
    </w:p>
    <w:p>
      <w:pPr>
        <w:spacing w:line="460" w:lineRule="exact"/>
        <w:rPr>
          <w:rFonts w:ascii="宋体" w:hAnsi="宋体"/>
          <w:sz w:val="24"/>
        </w:rPr>
      </w:pPr>
      <w:r>
        <w:rPr>
          <w:rFonts w:hint="eastAsia" w:ascii="宋体" w:hAnsi="宋体"/>
          <w:sz w:val="24"/>
        </w:rPr>
        <w:tab/>
      </w:r>
      <w:r>
        <w:rPr>
          <w:rFonts w:hint="eastAsia" w:ascii="宋体" w:hAnsi="宋体"/>
          <w:sz w:val="24"/>
        </w:rPr>
        <w:t xml:space="preserve"> 1、根据合同规定的质量保证期内，如果乙方对甲方提出的索赔负有责任，乙方应按照甲方同意的下列一种或多种方式解决索赔事宜：</w:t>
      </w:r>
      <w:r/>
    </w:p>
    <w:p>
      <w:pPr>
        <w:spacing w:line="460" w:lineRule="exact"/>
        <w:rPr>
          <w:rFonts w:ascii="宋体" w:hAnsi="宋体"/>
          <w:sz w:val="24"/>
        </w:rPr>
      </w:pPr>
      <w:r>
        <w:rPr>
          <w:rFonts w:hint="eastAsia" w:ascii="宋体" w:hAnsi="宋体"/>
          <w:sz w:val="24"/>
        </w:rPr>
        <w:t xml:space="preserve">   （1）根据服务的低劣程度以及甲方所遭受损失的数额，乙方必须按甲方所能接受的数额，降低服务的价格；</w:t>
      </w:r>
      <w:r/>
    </w:p>
    <w:p>
      <w:pPr>
        <w:spacing w:line="460" w:lineRule="exact"/>
        <w:rPr>
          <w:rFonts w:ascii="宋体" w:hAnsi="宋体"/>
          <w:sz w:val="24"/>
        </w:rPr>
      </w:pPr>
      <w:r>
        <w:rPr>
          <w:rFonts w:hint="eastAsia" w:ascii="宋体" w:hAnsi="宋体"/>
          <w:sz w:val="24"/>
        </w:rPr>
        <w:t xml:space="preserve">   （2）用符合合同规定的规格、质量和性能要求的新货物来更换有缺陷的部分，乙方应承担一切费用和风险，并负担甲方所蒙受的全部直接损失费用。同时，乙方应按合同规定，对服务相应延长服务期。</w:t>
      </w:r>
      <w:r/>
    </w:p>
    <w:p>
      <w:pPr>
        <w:spacing w:line="460" w:lineRule="exact"/>
        <w:rPr>
          <w:rFonts w:ascii="宋体" w:hAnsi="宋体"/>
          <w:sz w:val="24"/>
        </w:rPr>
      </w:pPr>
      <w:r>
        <w:rPr>
          <w:rFonts w:hint="eastAsia" w:ascii="宋体" w:hAnsi="宋体"/>
          <w:sz w:val="24"/>
        </w:rPr>
        <w:t xml:space="preserve">  </w:t>
      </w:r>
      <w:r>
        <w:rPr>
          <w:rFonts w:hint="eastAsia" w:ascii="宋体" w:hAnsi="宋体"/>
          <w:sz w:val="24"/>
        </w:rPr>
        <w:tab/>
      </w:r>
      <w:r>
        <w:rPr>
          <w:rFonts w:hint="eastAsia" w:ascii="宋体" w:hAnsi="宋体"/>
          <w:sz w:val="24"/>
        </w:rPr>
        <w:t xml:space="preserve"> 2、如果在甲方发出索赔通知后20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rPr>
          <w:rFonts w:hint="eastAsia" w:ascii="宋体" w:hAnsi="宋体"/>
          <w:b/>
          <w:sz w:val="24"/>
        </w:rPr>
        <w:t xml:space="preserve"> </w:t>
      </w:r>
      <w:r/>
    </w:p>
    <w:p>
      <w:pPr>
        <w:ind w:firstLine="359"/>
        <w:spacing w:line="460" w:lineRule="exact"/>
        <w:rPr>
          <w:rFonts w:ascii="宋体" w:hAnsi="宋体"/>
          <w:sz w:val="24"/>
        </w:rPr>
      </w:pPr>
      <w:r>
        <w:rPr>
          <w:rFonts w:hint="eastAsia" w:ascii="宋体" w:hAnsi="宋体"/>
          <w:b/>
          <w:bCs/>
          <w:sz w:val="24"/>
          <w:lang w:eastAsia="zh-CN"/>
        </w:rPr>
        <w:t xml:space="preserve">十</w:t>
      </w:r>
      <w:r>
        <w:rPr>
          <w:rFonts w:hint="eastAsia" w:ascii="宋体" w:hAnsi="宋体"/>
          <w:b/>
          <w:bCs/>
          <w:sz w:val="24"/>
        </w:rPr>
        <w:t xml:space="preserve">、转让</w:t>
      </w:r>
      <w:r/>
    </w:p>
    <w:p>
      <w:pPr>
        <w:spacing w:line="440" w:lineRule="exact"/>
        <w:rPr>
          <w:rFonts w:ascii="宋体" w:hAnsi="宋体"/>
          <w:sz w:val="24"/>
        </w:rPr>
      </w:pPr>
      <w:r>
        <w:rPr>
          <w:rFonts w:hint="eastAsia" w:ascii="宋体" w:hAnsi="宋体"/>
          <w:sz w:val="24"/>
        </w:rPr>
        <w:t xml:space="preserve"> </w:t>
      </w:r>
      <w:r>
        <w:rPr>
          <w:rFonts w:hint="eastAsia" w:ascii="宋体" w:hAnsi="宋体"/>
          <w:sz w:val="24"/>
        </w:rPr>
        <w:tab/>
      </w:r>
      <w:r>
        <w:rPr>
          <w:rFonts w:hint="eastAsia" w:ascii="宋体" w:hAnsi="宋体"/>
          <w:sz w:val="24"/>
        </w:rPr>
        <w:t xml:space="preserve">除甲方事先书面同意外，乙方不得转让任何其应履行的合同义务。</w:t>
      </w:r>
      <w:r/>
    </w:p>
    <w:p>
      <w:pPr>
        <w:ind w:firstLine="482"/>
        <w:spacing w:line="460" w:lineRule="exact"/>
        <w:rPr>
          <w:rFonts w:ascii="宋体" w:hAnsi="宋体"/>
          <w:b/>
          <w:bCs/>
          <w:sz w:val="24"/>
        </w:rPr>
      </w:pPr>
      <w:r>
        <w:rPr>
          <w:rFonts w:hint="eastAsia" w:ascii="宋体" w:hAnsi="宋体"/>
          <w:b/>
          <w:bCs/>
          <w:sz w:val="24"/>
        </w:rPr>
        <w:t xml:space="preserve">十</w:t>
      </w:r>
      <w:r>
        <w:rPr>
          <w:rFonts w:hint="eastAsia" w:ascii="宋体" w:hAnsi="宋体"/>
          <w:b/>
          <w:bCs/>
          <w:sz w:val="24"/>
          <w:lang w:eastAsia="zh-CN"/>
        </w:rPr>
        <w:t xml:space="preserve">一</w:t>
      </w:r>
      <w:r>
        <w:rPr>
          <w:rFonts w:hint="eastAsia" w:ascii="宋体" w:hAnsi="宋体"/>
          <w:b/>
          <w:bCs/>
          <w:sz w:val="24"/>
        </w:rPr>
        <w:t xml:space="preserve">、安全问题</w:t>
      </w:r>
      <w:r/>
    </w:p>
    <w:p>
      <w:pPr>
        <w:ind w:firstLine="480"/>
        <w:spacing w:line="440" w:lineRule="exact"/>
        <w:rPr>
          <w:rFonts w:ascii="宋体" w:hAnsi="宋体"/>
          <w:sz w:val="24"/>
        </w:rPr>
      </w:pPr>
      <w:r>
        <w:rPr>
          <w:rFonts w:hint="eastAsia" w:ascii="宋体" w:hAnsi="宋体"/>
          <w:sz w:val="24"/>
        </w:rPr>
        <w:t xml:space="preserve">1、乙方必须考虑服务过程中的安全问题。如因乙方原因，以及一切自然损坏而造成的货物损坏和人身伤害事故（不包括不可抗力因素），由乙方承担全部责任。</w:t>
      </w:r>
      <w:r/>
    </w:p>
    <w:p>
      <w:pPr>
        <w:ind w:firstLine="480"/>
        <w:spacing w:line="440" w:lineRule="exact"/>
        <w:rPr>
          <w:rFonts w:ascii="宋体" w:hAnsi="宋体"/>
          <w:sz w:val="24"/>
        </w:rPr>
      </w:pPr>
      <w:r>
        <w:rPr>
          <w:rFonts w:hint="eastAsia" w:ascii="宋体" w:hAnsi="宋体"/>
          <w:sz w:val="24"/>
        </w:rPr>
        <w:t xml:space="preserve">2 、乙方应做好运维服务管理区内的安全管理工作，并随时接受甲方或行业安全检查人员依法实施的监督检查，采取必要的安全防护措施，消除事故隐患。</w:t>
      </w:r>
      <w:r/>
    </w:p>
    <w:p>
      <w:pPr>
        <w:ind w:firstLine="480"/>
        <w:spacing w:line="440" w:lineRule="exact"/>
        <w:rPr>
          <w:rFonts w:ascii="宋体" w:hAnsi="宋体"/>
          <w:sz w:val="24"/>
        </w:rPr>
      </w:pPr>
      <w:r>
        <w:rPr>
          <w:rFonts w:hint="eastAsia" w:ascii="宋体" w:hAnsi="宋体"/>
          <w:sz w:val="24"/>
        </w:rPr>
        <w:t xml:space="preserve">3、 由于乙方管理不善，引起政府职能部门处罚和停工整改，或安全措施管理不力造成事故的，由乙方承担责任和损失。</w:t>
      </w:r>
      <w:r/>
    </w:p>
    <w:p>
      <w:pPr>
        <w:ind w:firstLine="480"/>
        <w:spacing w:line="440" w:lineRule="exact"/>
        <w:rPr>
          <w:rFonts w:ascii="宋体" w:hAnsi="宋体"/>
          <w:sz w:val="24"/>
        </w:rPr>
      </w:pPr>
      <w:r>
        <w:rPr>
          <w:rFonts w:hint="eastAsia" w:ascii="宋体" w:hAnsi="宋体"/>
          <w:sz w:val="24"/>
        </w:rPr>
        <w:t xml:space="preserve">4、乙方在从事服务工作中应当做到文明工作、安全生产，采取必要的安全防范措施，合同期内，乙方服务工作人员发生的一切安全问题包括由于乙方提供的服务导致的安全事故的责任，均由乙方自行负责，与甲方无关。</w:t>
      </w:r>
      <w:r/>
    </w:p>
    <w:p>
      <w:pPr>
        <w:ind w:firstLine="482"/>
        <w:spacing w:line="460" w:lineRule="exact"/>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二</w:t>
      </w:r>
      <w:r>
        <w:rPr>
          <w:rFonts w:hint="eastAsia" w:ascii="宋体" w:hAnsi="宋体"/>
          <w:b/>
          <w:sz w:val="24"/>
        </w:rPr>
        <w:t xml:space="preserve">、不可抗力</w:t>
      </w:r>
      <w:r/>
    </w:p>
    <w:p>
      <w:pPr>
        <w:ind w:firstLine="480"/>
        <w:spacing w:line="460" w:lineRule="exact"/>
        <w:rPr>
          <w:rFonts w:ascii="宋体" w:hAnsi="宋体"/>
          <w:sz w:val="24"/>
        </w:rPr>
      </w:pPr>
      <w:r>
        <w:rPr>
          <w:rFonts w:hint="eastAsia" w:ascii="宋体" w:hAnsi="宋体"/>
          <w:sz w:val="24"/>
        </w:rPr>
        <w:t xml:space="preserve">1.如果甲、乙双方因不可抗力而导致合同实施延误或不能履行合同义务，在不可抗力影响的范围内不应该被没收合同履约或已支付的款项，也不应该承担误期赔偿或延期付款赔偿或终止合同的责任。</w:t>
      </w:r>
      <w:r/>
    </w:p>
    <w:p>
      <w:pPr>
        <w:ind w:firstLine="480"/>
        <w:spacing w:line="460" w:lineRule="exact"/>
        <w:rPr>
          <w:rFonts w:ascii="宋体" w:hAnsi="宋体"/>
          <w:sz w:val="24"/>
        </w:rPr>
      </w:pPr>
      <w:r>
        <w:rPr>
          <w:rFonts w:hint="eastAsia" w:ascii="宋体" w:hAnsi="宋体"/>
          <w:sz w:val="24"/>
        </w:rPr>
        <w:t xml:space="preserve">2.本条所述的“不可抗力”系指那些双方不能预见、不能克服并无法避免的事件，但不包括任何一方的违约或疏忽。不可预见的事件包括，战争、严重火灾、洪水、台风、地震及其他双方同意的情况。</w:t>
      </w:r>
      <w:r/>
    </w:p>
    <w:p>
      <w:pPr>
        <w:ind w:firstLine="480"/>
        <w:spacing w:line="460" w:lineRule="exact"/>
        <w:rPr>
          <w:rFonts w:ascii="宋体" w:hAnsi="宋体"/>
          <w:sz w:val="24"/>
        </w:rPr>
      </w:pPr>
      <w:r>
        <w:rPr>
          <w:rFonts w:hint="eastAsia" w:ascii="宋体" w:hAnsi="宋体"/>
          <w:sz w:val="24"/>
        </w:rPr>
        <w:t xml:space="preserve">3.在不可抗力事件发生后，受损方应尽快以书面形式将不可抗力的情况和原因通知对方，除对方书面另行要求外，受损方方应尽实际可能继续履行合同义务，以及寻求采取合理的方案履行因受不可抗力影响的其他事项。如果不可抗力事件影响延续超过规定的项目竣工交付日期，双方应通过友好协商在合理的时间内就进一步实施合同达成协议。</w:t>
      </w:r>
      <w:r/>
    </w:p>
    <w:p>
      <w:pPr>
        <w:ind w:firstLine="482"/>
        <w:spacing w:line="460" w:lineRule="exact"/>
        <w:rPr>
          <w:rFonts w:ascii="宋体" w:hAnsi="宋体"/>
          <w:b/>
          <w:sz w:val="24"/>
        </w:rPr>
      </w:pPr>
      <w:r>
        <w:rPr>
          <w:rFonts w:hint="eastAsia" w:ascii="宋体" w:hAnsi="宋体"/>
          <w:b/>
          <w:sz w:val="24"/>
        </w:rPr>
        <w:t xml:space="preserve">第十</w:t>
      </w:r>
      <w:r>
        <w:rPr>
          <w:rFonts w:hint="eastAsia" w:ascii="宋体" w:hAnsi="宋体"/>
          <w:b/>
          <w:sz w:val="24"/>
          <w:lang w:eastAsia="zh-CN"/>
        </w:rPr>
        <w:t xml:space="preserve">三</w:t>
      </w:r>
      <w:r>
        <w:rPr>
          <w:rFonts w:hint="eastAsia" w:ascii="宋体" w:hAnsi="宋体"/>
          <w:b/>
          <w:sz w:val="24"/>
        </w:rPr>
        <w:t xml:space="preserve">条 违约责任 </w:t>
      </w:r>
      <w:r/>
    </w:p>
    <w:p>
      <w:pPr>
        <w:ind w:firstLine="480"/>
        <w:spacing w:line="460" w:lineRule="exact"/>
        <w:rPr>
          <w:rFonts w:ascii="宋体" w:hAnsi="宋体"/>
          <w:sz w:val="24"/>
        </w:rPr>
      </w:pPr>
      <w:r>
        <w:rPr>
          <w:rFonts w:hint="eastAsia" w:ascii="宋体" w:hAnsi="宋体"/>
          <w:sz w:val="24"/>
        </w:rPr>
        <w:t xml:space="preserve">1、甲方不履行本合同约定的义务，乙方可要求甲方履行，由此造成的损失，甲方应承担相应的责任；</w:t>
      </w:r>
      <w:r/>
    </w:p>
    <w:p>
      <w:pPr>
        <w:ind w:firstLine="480"/>
        <w:spacing w:line="460" w:lineRule="exact"/>
        <w:rPr>
          <w:rFonts w:ascii="宋体" w:hAnsi="宋体"/>
          <w:sz w:val="24"/>
        </w:rPr>
      </w:pPr>
      <w:r>
        <w:rPr>
          <w:rFonts w:hint="eastAsia" w:ascii="宋体" w:hAnsi="宋体"/>
          <w:sz w:val="24"/>
        </w:rPr>
        <w:t xml:space="preserve">2、乙方违反本合同约定，乙方如发生将本服务项目转包、违规、违法现象或在履行合约中单方中途退出的，甲方将终止本合同，没收履约保证金，追偿违约金，并追究由此造成的一切损失；</w:t>
      </w:r>
      <w:r/>
    </w:p>
    <w:p>
      <w:pPr>
        <w:ind w:firstLine="482"/>
        <w:spacing w:line="460" w:lineRule="exact"/>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四</w:t>
      </w:r>
      <w:r>
        <w:rPr>
          <w:rFonts w:hint="eastAsia" w:ascii="宋体" w:hAnsi="宋体"/>
          <w:b/>
          <w:sz w:val="24"/>
        </w:rPr>
        <w:t xml:space="preserve">、其他</w:t>
      </w:r>
      <w:r/>
    </w:p>
    <w:p>
      <w:pPr>
        <w:ind w:firstLine="480"/>
        <w:spacing w:line="440" w:lineRule="exact"/>
        <w:rPr>
          <w:rFonts w:ascii="宋体" w:hAnsi="宋体"/>
          <w:sz w:val="24"/>
        </w:rPr>
      </w:pPr>
      <w:r>
        <w:rPr>
          <w:rFonts w:hint="eastAsia" w:ascii="宋体" w:hAnsi="宋体"/>
          <w:sz w:val="24"/>
        </w:rPr>
        <w:t xml:space="preserve">1.本合同自双方签字盖章之日起生效。合同生效后如需变更合同条款，须经双方协商同意。</w:t>
      </w:r>
      <w:r/>
    </w:p>
    <w:p>
      <w:pPr>
        <w:ind w:firstLine="480"/>
        <w:spacing w:line="440" w:lineRule="exact"/>
        <w:rPr>
          <w:rFonts w:ascii="宋体" w:hAnsi="宋体"/>
          <w:sz w:val="24"/>
        </w:rPr>
      </w:pPr>
      <w:r>
        <w:rPr>
          <w:rFonts w:hint="eastAsia" w:ascii="宋体" w:hAnsi="宋体"/>
          <w:sz w:val="24"/>
        </w:rPr>
        <w:t xml:space="preserve">2.本合同任何条款不能认定为任何一方提供的格式条款。</w:t>
      </w:r>
      <w:r/>
    </w:p>
    <w:p>
      <w:pPr>
        <w:ind w:firstLine="480"/>
        <w:spacing w:line="440" w:lineRule="exact"/>
        <w:rPr>
          <w:rFonts w:ascii="宋体" w:hAnsi="宋体"/>
          <w:sz w:val="24"/>
        </w:rPr>
      </w:pPr>
      <w:r>
        <w:rPr>
          <w:rFonts w:hint="eastAsia" w:ascii="宋体" w:hAnsi="宋体"/>
          <w:sz w:val="24"/>
        </w:rPr>
        <w:t xml:space="preserve">3、本合同在履行中如遇争议，双方可以通过协商和解、依法申请调解、向有关行政部门申诉、提请仲裁机构仲裁、向甲方所在地人民法院提起起诉等方式解决。</w:t>
      </w:r>
      <w:r/>
    </w:p>
    <w:p>
      <w:pPr>
        <w:ind w:firstLine="480"/>
        <w:spacing w:line="440" w:lineRule="exact"/>
        <w:rPr>
          <w:rFonts w:ascii="宋体" w:hAnsi="宋体"/>
          <w:sz w:val="24"/>
        </w:rPr>
      </w:pPr>
      <w:r>
        <w:rPr>
          <w:rFonts w:hint="eastAsia" w:ascii="宋体" w:hAnsi="宋体"/>
          <w:sz w:val="24"/>
        </w:rPr>
        <w:t xml:space="preserve">4.合同双方可以就本合同主要内容以外的事项进行协商。本合同若有未尽事宜，双方可协商解决。</w:t>
      </w:r>
      <w:r/>
    </w:p>
    <w:p>
      <w:pPr>
        <w:ind w:firstLine="480"/>
        <w:spacing w:line="440" w:lineRule="exact"/>
        <w:rPr>
          <w:rFonts w:ascii="宋体" w:hAnsi="宋体"/>
          <w:sz w:val="24"/>
        </w:rPr>
      </w:pPr>
      <w:r>
        <w:rPr>
          <w:rFonts w:hint="eastAsia" w:ascii="宋体" w:hAnsi="宋体"/>
          <w:sz w:val="24"/>
        </w:rPr>
        <w:t xml:space="preserve">5.本合同一式捌份，甲、乙双方各执叁份，</w:t>
      </w:r>
      <w:r>
        <w:rPr>
          <w:rFonts w:hint="eastAsia" w:ascii="宋体" w:hAnsi="宋体" w:cs="Tahoma"/>
          <w:bCs/>
          <w:sz w:val="24"/>
        </w:rPr>
        <w:t xml:space="preserve">响水</w:t>
      </w:r>
      <w:r>
        <w:rPr>
          <w:rFonts w:ascii="宋体" w:hAnsi="宋体" w:cs="Tahoma"/>
          <w:bCs/>
          <w:sz w:val="24"/>
        </w:rPr>
        <w:t xml:space="preserve">县行政审批局</w:t>
      </w:r>
      <w:r>
        <w:rPr>
          <w:rFonts w:hint="eastAsia" w:ascii="宋体" w:hAnsi="宋体"/>
          <w:sz w:val="24"/>
        </w:rPr>
        <w:t xml:space="preserve">执贰份。</w:t>
      </w:r>
      <w:r/>
    </w:p>
    <w:p>
      <w:pPr>
        <w:ind w:firstLine="600"/>
        <w:spacing w:line="460" w:lineRule="exact"/>
        <w:rPr>
          <w:rFonts w:ascii="宋体" w:hAnsi="宋体"/>
          <w:sz w:val="24"/>
        </w:rPr>
      </w:pPr>
      <w:r>
        <w:rPr>
          <w:rFonts w:hint="eastAsia" w:ascii="宋体" w:hAnsi="宋体"/>
          <w:sz w:val="24"/>
        </w:rPr>
        <w:t xml:space="preserve">甲方（公章）：</w:t>
      </w:r>
      <w:r>
        <w:rPr>
          <w:rFonts w:hint="eastAsia" w:hAnsi="宋体"/>
          <w:sz w:val="24"/>
        </w:rPr>
        <w:t xml:space="preserve">                             </w:t>
      </w:r>
      <w:r>
        <w:rPr>
          <w:rFonts w:hint="eastAsia" w:ascii="宋体" w:hAnsi="宋体"/>
          <w:sz w:val="24"/>
        </w:rPr>
        <w:t xml:space="preserve">乙方（公章）：</w:t>
      </w:r>
      <w:r/>
    </w:p>
    <w:p>
      <w:pPr>
        <w:ind w:firstLine="600"/>
        <w:spacing w:line="460" w:lineRule="exact"/>
        <w:rPr>
          <w:rFonts w:ascii="宋体" w:hAnsi="宋体"/>
          <w:sz w:val="24"/>
        </w:rPr>
      </w:pPr>
      <w:r>
        <w:rPr>
          <w:rFonts w:hint="eastAsia" w:ascii="宋体" w:hAnsi="宋体"/>
          <w:sz w:val="24"/>
        </w:rPr>
        <w:t xml:space="preserve">法定代表人（签字）：                       法定代表人（签字）：</w:t>
      </w:r>
      <w:r/>
    </w:p>
    <w:p>
      <w:pPr>
        <w:ind w:firstLine="600"/>
        <w:spacing w:line="460" w:lineRule="exact"/>
        <w:rPr>
          <w:rFonts w:ascii="宋体" w:hAnsi="宋体"/>
          <w:sz w:val="24"/>
        </w:rPr>
      </w:pPr>
      <w:r>
        <w:rPr>
          <w:rFonts w:hint="eastAsia" w:ascii="宋体" w:hAnsi="宋体"/>
          <w:sz w:val="24"/>
        </w:rPr>
        <w:t xml:space="preserve">委托代理人（签字）：                       委托代理人（签字）：          </w:t>
      </w:r>
      <w:r/>
    </w:p>
    <w:p>
      <w:pPr>
        <w:ind w:firstLine="600"/>
        <w:spacing w:line="460" w:lineRule="exact"/>
        <w:rPr>
          <w:rFonts w:ascii="宋体" w:hAnsi="宋体"/>
          <w:sz w:val="24"/>
        </w:rPr>
      </w:pPr>
      <w:r>
        <w:rPr>
          <w:rFonts w:hint="eastAsia" w:ascii="宋体" w:hAnsi="宋体"/>
          <w:sz w:val="24"/>
        </w:rPr>
        <w:t xml:space="preserve">联系电话：                                联系电话：</w:t>
      </w:r>
      <w:r/>
    </w:p>
    <w:p>
      <w:pPr>
        <w:ind w:firstLine="600"/>
        <w:spacing w:line="460" w:lineRule="exact"/>
        <w:rPr>
          <w:rFonts w:ascii="宋体" w:hAnsi="宋体"/>
          <w:sz w:val="24"/>
        </w:rPr>
      </w:pPr>
      <w:r>
        <w:rPr>
          <w:rFonts w:hint="eastAsia" w:ascii="宋体" w:hAnsi="宋体"/>
          <w:sz w:val="24"/>
        </w:rPr>
        <w:t xml:space="preserve">传    真                                  传    真：</w:t>
      </w:r>
      <w:r/>
    </w:p>
    <w:p>
      <w:pPr>
        <w:ind w:firstLine="600"/>
        <w:spacing w:line="460" w:lineRule="exact"/>
        <w:rPr>
          <w:rFonts w:ascii="宋体" w:hAnsi="宋体"/>
          <w:sz w:val="24"/>
        </w:rPr>
      </w:pPr>
      <w:r>
        <w:rPr>
          <w:rFonts w:hint="eastAsia" w:ascii="宋体" w:hAnsi="宋体"/>
          <w:sz w:val="24"/>
        </w:rPr>
        <w:t xml:space="preserve">经营地址：                                经营地址：</w:t>
      </w:r>
      <w:r/>
    </w:p>
    <w:p>
      <w:pPr>
        <w:ind w:firstLine="600"/>
        <w:spacing w:line="460" w:lineRule="exact"/>
        <w:rPr>
          <w:rFonts w:ascii="宋体" w:hAnsi="宋体"/>
          <w:sz w:val="24"/>
        </w:rPr>
      </w:pPr>
      <w:r>
        <w:rPr>
          <w:rFonts w:hint="eastAsia" w:ascii="宋体" w:hAnsi="宋体"/>
          <w:sz w:val="24"/>
        </w:rPr>
        <w:t xml:space="preserve">开户银行：                                开户银行：</w:t>
      </w:r>
      <w:r/>
    </w:p>
    <w:p>
      <w:pPr>
        <w:ind w:firstLine="600"/>
        <w:spacing w:line="460" w:lineRule="exact"/>
        <w:rPr>
          <w:rFonts w:ascii="宋体" w:hAnsi="宋体"/>
          <w:sz w:val="24"/>
        </w:rPr>
      </w:pPr>
      <w:r>
        <w:rPr>
          <w:rFonts w:hint="eastAsia" w:ascii="宋体" w:hAnsi="宋体"/>
          <w:sz w:val="24"/>
        </w:rPr>
        <w:t xml:space="preserve">帐    号：                                帐    号：</w:t>
      </w:r>
      <w:r/>
    </w:p>
    <w:p>
      <w:pPr>
        <w:jc w:val="center"/>
        <w:spacing w:before="120" w:after="120" w:line="0" w:lineRule="atLeast"/>
        <w:rPr>
          <w:rFonts w:hint="eastAsia" w:ascii="黑体" w:hAnsi="Courier New" w:eastAsia="黑体" w:cs="Courier New"/>
          <w:bCs/>
          <w:sz w:val="44"/>
          <w:szCs w:val="21"/>
        </w:rPr>
      </w:pPr>
      <w:r>
        <w:rPr>
          <w:rFonts w:hint="eastAsia" w:ascii="宋体" w:hAnsi="宋体"/>
          <w:sz w:val="24"/>
        </w:rPr>
        <w:t xml:space="preserve">合同签订地点：                       合同签订时间：       年  月  日</w:t>
      </w:r>
      <w:r>
        <w:rPr>
          <w:rFonts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74"/>
      <w:r>
        <w:rPr>
          <w:rFonts w:hint="eastAsia" w:ascii="黑体" w:hAnsi="Courier New" w:eastAsia="黑体" w:cs="Courier New"/>
          <w:bCs/>
          <w:sz w:val="44"/>
          <w:szCs w:val="21"/>
        </w:rPr>
        <w:t xml:space="preserve">四章 采购需求</w:t>
      </w:r>
      <w:bookmarkEnd w:id="175"/>
      <w:r/>
      <w:bookmarkEnd w:id="176"/>
      <w:r/>
      <w:bookmarkEnd w:id="177"/>
      <w:r/>
      <w:bookmarkStart w:id="180" w:name="_Toc26554093"/>
      <w:r/>
      <w:bookmarkStart w:id="181" w:name="_Toc49090575"/>
      <w:r/>
      <w:r/>
    </w:p>
    <w:p>
      <w:pPr>
        <w:spacing w:before="120" w:after="120" w:line="0" w:lineRule="atLeast"/>
        <w:rPr>
          <w:rFonts w:hint="eastAsia" w:ascii="宋体" w:hAnsi="Courier New" w:cs="Courier New"/>
          <w:sz w:val="24"/>
          <w:szCs w:val="24"/>
        </w:rPr>
      </w:pPr>
      <w:r>
        <w:rPr>
          <w:rFonts w:hint="eastAsia" w:ascii="宋体" w:hAnsi="Courier New" w:cs="Courier New"/>
          <w:sz w:val="24"/>
          <w:szCs w:val="24"/>
        </w:rPr>
        <w:t xml:space="preserve">项目属性：服务类项目</w:t>
      </w:r>
      <w:r/>
    </w:p>
    <w:p>
      <w:pPr>
        <w:pStyle w:val="724"/>
        <w:ind w:left="0" w:righ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w:t>
      </w:r>
      <w:r>
        <w:rPr>
          <w:rFonts w:hint="eastAsia" w:ascii="宋体" w:hAnsi="宋体" w:eastAsia="宋体" w:cs="宋体"/>
          <w:b/>
          <w:bCs/>
          <w:color w:val="000000"/>
          <w:sz w:val="24"/>
          <w:szCs w:val="24"/>
        </w:rPr>
        <w:t xml:space="preserve">项目背景</w:t>
      </w:r>
      <w:r/>
    </w:p>
    <w:p>
      <w:pPr>
        <w:pStyle w:val="724"/>
        <w:ind w:left="0" w:firstLine="420"/>
        <w:jc w:val="both"/>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sz w:val="24"/>
          <w:szCs w:val="24"/>
        </w:rPr>
        <w:t xml:space="preserve">为贯彻落实积极</w:t>
      </w:r>
      <w:r>
        <w:rPr>
          <w:rFonts w:hint="eastAsia" w:ascii="宋体" w:hAnsi="宋体" w:eastAsia="宋体"/>
          <w:sz w:val="24"/>
          <w:szCs w:val="24"/>
        </w:rPr>
        <w:t xml:space="preserve">应对人口老龄化国家战略，全面提升居家和社区基本养老服务能力，完善老年人床边、身边、家边可感可及的养老服务，不断增强老年人的获得感、幸福感、安全感，根据《民政部办公厅财政部办公厅关于开展2025年居家和社区基本养老服务提升行动项目申报和组织实施工作的通知》（民办函〔2024〕64号），要求在设施建设、机构培育、人才培养、服务创新等方面积极探索，形成可复制可推广的居家社区养老服务有效模式，建立健全居家社区养老服务高质量发展制度机制。按照《关于印发盐城市居家和社区基本养老服务提升行动项目实施方案的通知》等文件要求</w:t>
      </w:r>
      <w:r>
        <w:rPr>
          <w:rFonts w:hint="eastAsia" w:ascii="宋体" w:hAnsi="宋体"/>
          <w:sz w:val="24"/>
          <w:szCs w:val="24"/>
          <w:lang w:eastAsia="zh-CN"/>
        </w:rPr>
        <w:t xml:space="preserve">，要求供应商具备一定专业技术人员及既往承接类似项目业绩，针对本项目拟定切实可行的各项技术方案，来</w:t>
      </w:r>
      <w:r>
        <w:rPr>
          <w:rFonts w:hint="eastAsia" w:ascii="宋体" w:hAnsi="宋体" w:eastAsia="宋体"/>
          <w:sz w:val="24"/>
          <w:szCs w:val="24"/>
        </w:rPr>
        <w:t xml:space="preserve">开展居家和社区基本养老服务</w:t>
      </w:r>
      <w:r>
        <w:rPr>
          <w:rFonts w:hint="eastAsia" w:ascii="宋体" w:hAnsi="宋体" w:eastAsia="宋体" w:cs="宋体"/>
          <w:color w:val="000000"/>
          <w:sz w:val="24"/>
          <w:szCs w:val="24"/>
        </w:rPr>
        <w:t xml:space="preserve">。</w:t>
      </w:r>
      <w:r/>
    </w:p>
    <w:p>
      <w:pPr>
        <w:pStyle w:val="724"/>
        <w:ind w:left="0" w:firstLine="422"/>
        <w:jc w:val="both"/>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二、服务对象</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1、具有本</w:t>
      </w:r>
      <w:r>
        <w:rPr>
          <w:rFonts w:hint="eastAsia" w:ascii="宋体" w:hAnsi="宋体" w:eastAsia="宋体" w:cs="宋体"/>
          <w:color w:val="000000"/>
          <w:sz w:val="24"/>
          <w:szCs w:val="24"/>
          <w:lang w:eastAsia="zh-CN"/>
        </w:rPr>
        <w:t xml:space="preserve">县</w:t>
      </w:r>
      <w:r>
        <w:rPr>
          <w:rFonts w:hint="eastAsia" w:ascii="宋体" w:hAnsi="宋体" w:eastAsia="宋体" w:cs="宋体"/>
          <w:color w:val="000000"/>
          <w:sz w:val="24"/>
          <w:szCs w:val="24"/>
        </w:rPr>
        <w:t xml:space="preserve">户籍且实际居住在本区范围内的60周岁及以上经济困难的失能、部分失能老年人。经济困难老年人是指低保、低保边缘家庭中的老年人，可视情扩展至支出型困难家庭。失能、部分失能老年人是指根据《老年人能力评估规范》（GB/T42195-2022）等标准评估为轻度失能及以上等级。</w:t>
      </w:r>
      <w:r/>
    </w:p>
    <w:p>
      <w:pPr>
        <w:pStyle w:val="724"/>
        <w:ind w:left="0" w:firstLine="420"/>
        <w:keepLines w:val="0"/>
        <w:keepNext w:val="0"/>
        <w:spacing w:before="0" w:beforeAutospacing="0" w:after="0" w:afterAutospacing="0" w:line="0" w:lineRule="atLeast"/>
        <w:widowControl/>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2、居家上门服务</w:t>
      </w:r>
      <w:r>
        <w:rPr>
          <w:rFonts w:hint="eastAsia" w:cs="宋体"/>
          <w:color w:val="000000"/>
          <w:sz w:val="24"/>
          <w:szCs w:val="24"/>
          <w:lang w:val="en-US" w:eastAsia="zh-CN"/>
        </w:rPr>
        <w:t xml:space="preserve">239</w:t>
      </w:r>
      <w:r>
        <w:rPr>
          <w:rFonts w:hint="eastAsia" w:ascii="宋体" w:hAnsi="宋体" w:eastAsia="宋体" w:cs="宋体"/>
          <w:color w:val="000000"/>
          <w:sz w:val="24"/>
          <w:szCs w:val="24"/>
        </w:rPr>
        <w:t xml:space="preserve">人次。</w:t>
      </w:r>
      <w:r/>
    </w:p>
    <w:tbl>
      <w:tblPr>
        <w:tblStyle w:val="705"/>
        <w:tblW w:w="49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3102"/>
        <w:gridCol w:w="1500"/>
        <w:gridCol w:w="3799"/>
      </w:tblGrid>
      <w:tr>
        <w:trPr>
          <w:trHeight w:val="631"/>
        </w:trPr>
        <w:tc>
          <w:tcPr>
            <w:tcW w:w="331" w:type="pct"/>
            <w:vAlign w:val="center"/>
            <w:textDirection w:val="lrTb"/>
            <w:noWrap w:val="false"/>
          </w:tcPr>
          <w:p>
            <w:pPr>
              <w:pStyle w:val="989"/>
              <w:ind w:firstLine="0"/>
              <w:jc w:val="center"/>
            </w:pPr>
            <w:r>
              <w:rPr>
                <w:rFonts w:hint="eastAsia"/>
              </w:rPr>
              <w:t xml:space="preserve">序号</w:t>
            </w:r>
            <w:r/>
          </w:p>
        </w:tc>
        <w:tc>
          <w:tcPr>
            <w:tcW w:w="1723" w:type="pct"/>
            <w:vAlign w:val="center"/>
            <w:textDirection w:val="lrTb"/>
            <w:noWrap w:val="false"/>
          </w:tcPr>
          <w:p>
            <w:pPr>
              <w:pStyle w:val="989"/>
              <w:ind w:left="0" w:firstLine="0"/>
              <w:jc w:val="center"/>
              <w:rPr>
                <w:rFonts w:hint="eastAsia" w:eastAsia="宋体"/>
                <w:lang w:eastAsia="zh-CN"/>
              </w:rPr>
            </w:pPr>
            <w:r>
              <w:rPr>
                <w:rFonts w:hint="eastAsia"/>
                <w:lang w:eastAsia="zh-CN"/>
              </w:rPr>
              <w:t xml:space="preserve">区域</w:t>
            </w:r>
            <w:r/>
          </w:p>
        </w:tc>
        <w:tc>
          <w:tcPr>
            <w:tcW w:w="833" w:type="pct"/>
            <w:vAlign w:val="center"/>
            <w:textDirection w:val="lrTb"/>
            <w:noWrap w:val="false"/>
          </w:tcPr>
          <w:p>
            <w:pPr>
              <w:pStyle w:val="989"/>
              <w:ind w:firstLine="0"/>
              <w:jc w:val="center"/>
              <w:rPr>
                <w:rFonts w:hint="eastAsia" w:eastAsia="宋体"/>
                <w:lang w:eastAsia="zh-CN"/>
              </w:rPr>
            </w:pPr>
            <w:r>
              <w:rPr>
                <w:rFonts w:hint="eastAsia"/>
                <w:lang w:eastAsia="zh-CN"/>
              </w:rPr>
              <w:t xml:space="preserve">居家上门服务服务人数</w:t>
            </w:r>
            <w:r/>
          </w:p>
        </w:tc>
        <w:tc>
          <w:tcPr>
            <w:tcW w:w="2110" w:type="pct"/>
            <w:vAlign w:val="center"/>
            <w:textDirection w:val="lrTb"/>
            <w:noWrap w:val="false"/>
          </w:tcPr>
          <w:p>
            <w:pPr>
              <w:pStyle w:val="989"/>
              <w:ind w:firstLine="0"/>
              <w:jc w:val="center"/>
              <w:rPr>
                <w:rFonts w:hint="default"/>
                <w:lang w:val="en-US" w:eastAsia="zh-CN"/>
              </w:rPr>
            </w:pPr>
            <w:r>
              <w:rPr>
                <w:rFonts w:hint="eastAsia"/>
                <w:lang w:eastAsia="zh-CN"/>
              </w:rPr>
              <w:t xml:space="preserve">建设</w:t>
            </w:r>
            <w:r>
              <w:rPr>
                <w:rFonts w:hint="eastAsia"/>
                <w:lang w:val="en-US" w:eastAsia="zh-CN"/>
              </w:rPr>
              <w:t xml:space="preserve">/服务补贴标准</w:t>
            </w:r>
            <w:r/>
          </w:p>
        </w:tc>
      </w:tr>
      <w:tr>
        <w:trPr>
          <w:trHeight w:val="1551"/>
        </w:trPr>
        <w:tc>
          <w:tcPr>
            <w:tcW w:w="331" w:type="pct"/>
            <w:vAlign w:val="center"/>
            <w:textDirection w:val="lrTb"/>
            <w:noWrap w:val="false"/>
          </w:tcPr>
          <w:p>
            <w:pPr>
              <w:pStyle w:val="989"/>
              <w:ind w:firstLine="0"/>
              <w:rPr>
                <w:rFonts w:hAnsi="宋体"/>
                <w:sz w:val="24"/>
              </w:rPr>
            </w:pPr>
            <w:r>
              <w:rPr>
                <w:rFonts w:hint="eastAsia" w:hAnsi="宋体"/>
                <w:sz w:val="24"/>
              </w:rPr>
              <w:t xml:space="preserve">1</w:t>
            </w:r>
            <w:r/>
          </w:p>
        </w:tc>
        <w:tc>
          <w:tcPr>
            <w:tcW w:w="1723" w:type="pct"/>
            <w:vAlign w:val="top"/>
            <w:textDirection w:val="lrTb"/>
            <w:noWrap w:val="false"/>
          </w:tcPr>
          <w:p>
            <w:pPr>
              <w:pStyle w:val="927"/>
              <w:ind w:firstLine="0"/>
              <w:rPr>
                <w:rFonts w:hint="eastAsia" w:ascii="宋体" w:hAnsi="宋体" w:eastAsia="宋体"/>
                <w:szCs w:val="22"/>
                <w:lang w:val="en-US" w:eastAsia="zh-CN"/>
              </w:rPr>
            </w:pPr>
            <w:r>
              <w:rPr>
                <w:rFonts w:hint="eastAsia" w:ascii="宋体" w:hAnsi="宋体" w:eastAsia="Arial"/>
                <w:szCs w:val="22"/>
                <w:lang w:val="en-US" w:eastAsia="zh-CN"/>
              </w:rPr>
              <w:t xml:space="preserve">大有镇、南河镇、运河镇、黄圩镇、开发区、黄海农场</w:t>
            </w:r>
            <w:r/>
          </w:p>
        </w:tc>
        <w:tc>
          <w:tcPr>
            <w:tcW w:w="833" w:type="pct"/>
            <w:vAlign w:val="center"/>
            <w:textDirection w:val="lrTb"/>
            <w:noWrap w:val="false"/>
          </w:tcPr>
          <w:p>
            <w:pPr>
              <w:pStyle w:val="989"/>
              <w:ind w:firstLine="0"/>
              <w:jc w:val="center"/>
              <w:rPr>
                <w:rFonts w:hint="default" w:hAnsi="宋体" w:eastAsia="宋体"/>
                <w:lang w:val="en-US" w:eastAsia="zh-CN"/>
              </w:rPr>
            </w:pPr>
            <w:r>
              <w:rPr>
                <w:rFonts w:hint="eastAsia" w:hAnsi="宋体"/>
                <w:lang w:val="en-US" w:eastAsia="zh-CN"/>
              </w:rPr>
              <w:t xml:space="preserve">239</w:t>
            </w:r>
            <w:r/>
          </w:p>
        </w:tc>
        <w:tc>
          <w:tcPr>
            <w:tcW w:w="2110" w:type="pct"/>
            <w:vAlign w:val="center"/>
            <w:textDirection w:val="lrTb"/>
            <w:noWrap w:val="false"/>
          </w:tcPr>
          <w:p>
            <w:pPr>
              <w:pStyle w:val="989"/>
              <w:ind w:firstLine="0"/>
              <w:jc w:val="left"/>
              <w:rPr>
                <w:rFonts w:hint="eastAsia" w:hAnsi="宋体"/>
                <w:lang w:val="en-US" w:eastAsia="zh-CN"/>
              </w:rPr>
            </w:pPr>
            <w:r>
              <w:rPr>
                <w:rFonts w:hint="eastAsia" w:hAnsi="宋体"/>
                <w:lang w:val="en-US" w:eastAsia="zh-CN"/>
              </w:rPr>
              <w:t xml:space="preserve">居家上门服务60元/次。</w:t>
            </w:r>
            <w:r/>
          </w:p>
          <w:p>
            <w:pPr>
              <w:rPr>
                <w:rFonts w:hint="eastAsia" w:hAnsi="宋体"/>
                <w:lang w:val="en-US" w:eastAsia="zh-CN"/>
              </w:rPr>
            </w:pPr>
            <w:r>
              <w:rPr>
                <w:rFonts w:hint="eastAsia" w:hAnsi="宋体"/>
                <w:lang w:val="en-US" w:eastAsia="zh-CN"/>
              </w:rPr>
              <w:t xml:space="preserve">（本次提升行动项目提供居家养老上门服务的1人次是指项目执行时间内（2026年1月底前）须为同一位服务对象累计提供 30次以上服务，且医护人员上门服务每次不低于1小时，护理员、护工、家政上门服务每次不低于 1.5 小时，服务价格不高于60元/次。）本次项目预计为每位服务对象提供55次服务</w:t>
            </w:r>
            <w:r/>
          </w:p>
          <w:p>
            <w:pPr>
              <w:rPr>
                <w:rFonts w:hint="default" w:hAnsi="宋体"/>
                <w:lang w:val="en-US" w:eastAsia="zh-CN"/>
              </w:rPr>
            </w:pPr>
            <w:r>
              <w:rPr>
                <w:rFonts w:hint="eastAsia" w:hAnsi="宋体"/>
                <w:lang w:val="en-US" w:eastAsia="zh-CN"/>
              </w:rPr>
              <w:t xml:space="preserve">本表中户数与服务人数均为统计数据，具体结算按照实际发生的数量进行结算</w:t>
            </w:r>
            <w:r/>
          </w:p>
        </w:tc>
      </w:tr>
    </w:tbl>
    <w:p>
      <w:pPr>
        <w:pStyle w:val="724"/>
        <w:ind w:firstLine="480"/>
        <w:keepLines w:val="0"/>
        <w:keepNext w:val="0"/>
        <w:spacing w:before="0" w:beforeAutospacing="0" w:after="0" w:afterAutospacing="0" w:line="0"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r>
      <w:r/>
    </w:p>
    <w:p>
      <w:pPr>
        <w:pStyle w:val="724"/>
        <w:ind w:firstLine="48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居家上门服务人次是动态的，</w:t>
      </w:r>
      <w:r>
        <w:rPr>
          <w:rFonts w:hint="eastAsia" w:ascii="宋体" w:hAnsi="宋体" w:eastAsia="宋体" w:cs="宋体"/>
          <w:color w:val="000000"/>
          <w:sz w:val="24"/>
          <w:szCs w:val="24"/>
        </w:rPr>
        <w:t xml:space="preserve">需根据失能、部分失能老年人评估等级开展服务。服务标准如有政策性调整，按最新文件要求执行。</w:t>
      </w:r>
      <w:r/>
    </w:p>
    <w:p>
      <w:pPr>
        <w:pStyle w:val="724"/>
        <w:ind w:left="0" w:firstLine="422"/>
        <w:jc w:val="both"/>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三、实施内容</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居家养老上门服务</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根据民政部门制定的服务计划，明确的服务流程，开展上门服务。依托智慧养老服务平台，建立居家养老上门服务呼叫中心，开通服务热线，响应老年人服务需求，实现“老人呼叫，服务即到”。呼叫中心根据服务对象需求，链接医疗、康复、养老等相应服务机构（组织），派单专业人员上门服务。服务人员登录民政部“民政服务”微信小程序，上传现场服务信息至金民系统。</w:t>
      </w:r>
      <w:r/>
    </w:p>
    <w:p>
      <w:pPr>
        <w:pStyle w:val="724"/>
        <w:ind w:left="0" w:firstLine="420"/>
        <w:jc w:val="both"/>
        <w:keepLines w:val="0"/>
        <w:keepNext w:val="0"/>
        <w:spacing w:before="0" w:beforeAutospacing="0" w:after="0" w:afterAutospacing="0" w:line="0" w:lineRule="atLeast"/>
        <w:shd w:val="clear" w:color="auto" w:fill="ffffff"/>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1、医护人员上门服务</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（1）服务内容。服务主体按照附件3要求，上门提供伤口处理与换药、鼻饲管更换、导尿管更换以及巡诊等非住院治疗类服务。服务时，服务对象的监护人应在场。</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（2）服务费用。按照采购合同约定结算。医药耗材按医保规定，由服务对象据实结算。</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2、护理员上门服务</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供应商根据民政部门审核的服务对象名册，组织具备从业资质的康复护理人员，针对服务对象个性化需求，按照附件3要求，上门提供专业护理、康复训练、家庭培训等三大类康复护理服务。</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3、护工上门服务</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供应商根据民政部门审核的服务对象名册，组织经过培训的生活照料护工或助老员，针对服务对象实际生活需求，按照附件3要求，上门提供生活照料、探访关爱、健康管理、精神慰藉等服务。</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4、家政上门服务</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供应商根据民政部门审核的服务对象名册，组织经过培训的生活照料护工或助老员，针对失能老年人行动不便的特征，按照附件3要求，上门提供保洁整理、委托代办等家政服务。</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以上四项服务，民政部门将按规定申请、审核、审批，参照盐城市民政局《关于进一步规范政府购买居家上门服务的通知》“办理程序”实施。</w:t>
      </w:r>
      <w:r>
        <w:rPr>
          <w:rFonts w:hint="eastAsia" w:ascii="宋体" w:hAnsi="宋体" w:eastAsia="宋体" w:cs="宋体"/>
          <w:color w:val="0000ff"/>
          <w:sz w:val="24"/>
          <w:szCs w:val="24"/>
          <w:lang w:eastAsia="zh-CN"/>
        </w:rPr>
        <w:t xml:space="preserve">县</w:t>
      </w:r>
      <w:r>
        <w:rPr>
          <w:rFonts w:hint="eastAsia" w:ascii="宋体" w:hAnsi="宋体" w:eastAsia="宋体" w:cs="宋体"/>
          <w:color w:val="0000ff"/>
          <w:sz w:val="24"/>
          <w:szCs w:val="24"/>
        </w:rPr>
        <w:t xml:space="preserve">级智慧养老服务平台运营商，如同时监管居家养老服务质量的，不得参与本项目</w:t>
      </w:r>
      <w:r>
        <w:rPr>
          <w:rFonts w:hint="eastAsia" w:ascii="宋体" w:hAnsi="宋体" w:eastAsia="宋体" w:cs="宋体"/>
          <w:color w:val="000000"/>
          <w:sz w:val="24"/>
          <w:szCs w:val="24"/>
        </w:rPr>
        <w:t xml:space="preserve">。</w:t>
      </w:r>
      <w:r/>
    </w:p>
    <w:p>
      <w:pPr>
        <w:pStyle w:val="724"/>
        <w:ind w:left="0" w:firstLine="422"/>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5、服务流程</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服务人员上门提供服务时，按以下服务操作流程提供服务：按时上门，通过平台签到，表明服务开始，并拍水印照→按需求为服务对象提供服务→服务结束时，服务人员拍水印照上传平台→告知服务对象服务时长→征求服役对象对服务满意度。</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6、监督管理</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（1）服务平台监督</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形成完整的服务闭合后，平台可以显示出工单的详细服务情况：服务时间、服务地点、服务内容，可以查看服务定位地图。供应商服务人员在服务过程中应实时接收视频通话，以监管服务人员工作情况。</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（2）服务对象监管</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发现不符合服务条件的服务对象（死亡、不居住在</w:t>
      </w:r>
      <w:r>
        <w:rPr>
          <w:rFonts w:hint="eastAsia" w:ascii="宋体" w:hAnsi="宋体" w:eastAsia="宋体" w:cs="宋体"/>
          <w:color w:val="000000"/>
          <w:sz w:val="24"/>
          <w:szCs w:val="24"/>
          <w:lang w:eastAsia="zh-CN"/>
        </w:rPr>
        <w:t xml:space="preserve">本县</w:t>
      </w:r>
      <w:r>
        <w:rPr>
          <w:rFonts w:hint="eastAsia" w:ascii="宋体" w:hAnsi="宋体" w:eastAsia="宋体" w:cs="宋体"/>
          <w:color w:val="000000"/>
          <w:sz w:val="24"/>
          <w:szCs w:val="24"/>
        </w:rPr>
        <w:t xml:space="preserve">等），应及时终止服务，并上报。</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附件3 盐城市居家和社区基本养老服务提升行动项目服务参考清单</w:t>
      </w:r>
      <w:r/>
    </w:p>
    <w:tbl>
      <w:tblPr>
        <w:tblStyle w:val="705"/>
        <w:tblW w:w="0" w:type="auto"/>
        <w:tblCellSpacing w:w="0" w:type="dxa"/>
        <w:tblInd w:w="-7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13" w:type="dxa"/>
          <w:top w:w="0" w:type="dxa"/>
          <w:right w:w="113" w:type="dxa"/>
          <w:bottom w:w="0" w:type="dxa"/>
        </w:tblCellMar>
        <w:tblLook w:val="04A0" w:firstRow="1" w:lastRow="0" w:firstColumn="1" w:lastColumn="0" w:noHBand="0" w:noVBand="1"/>
      </w:tblPr>
      <w:tblGrid>
        <w:gridCol w:w="709"/>
        <w:gridCol w:w="851"/>
        <w:gridCol w:w="850"/>
        <w:gridCol w:w="1276"/>
        <w:gridCol w:w="4961"/>
        <w:gridCol w:w="1134"/>
      </w:tblGrid>
      <w:tr>
        <w:trPr>
          <w:tblCellSpacing w:w="0" w:type="dxa"/>
          <w:trHeight w:val="447"/>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textDirection w:val="lrTb"/>
            <w:noWrap w:val="false"/>
          </w:tcPr>
          <w:p>
            <w:pPr>
              <w:pStyle w:val="72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right w:w="108" w:type="dxa"/>
            </w:tcMar>
            <w:tcW w:w="170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项目分类</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项目内容及服务标准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服务资质</w:t>
            </w:r>
            <w:r/>
          </w:p>
        </w:tc>
      </w:tr>
      <w:tr>
        <w:trPr>
          <w:tblCellSpacing w:w="0" w:type="dxa"/>
          <w:trHeight w:val="566"/>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restart"/>
            <w:textDirection w:val="lrTb"/>
            <w:noWrap w:val="false"/>
          </w:tcPr>
          <w:p>
            <w:pPr>
              <w:pStyle w:val="72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医护人员上门服务</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非住院治疗类项目</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普通创伤换药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为有普通创伤及手术伤口，去医院不便服务对象提供上门换药。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医生或护士</w:t>
            </w:r>
            <w:r/>
          </w:p>
        </w:tc>
      </w:tr>
      <w:tr>
        <w:trPr>
          <w:tblCellSpacing w:w="0" w:type="dxa"/>
          <w:trHeight w:val="568"/>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鼻饲管更换</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对需要鼻饲进食的照护对象，提供上门鼻饲管更换。</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565"/>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导尿管更换</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对行动不便的服务对象如果留置导尿管时间到期，提供上门导尿管更换。</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741"/>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巡诊服务</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根据服务对象的不同情况，制定不同的巡诊周期、巡诊内容，如常见的血压、血糖、心电图检查等，健康宣教、指导和其他个性化项目，使服务对象了解自身的身体状况。</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928"/>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restart"/>
            <w:textDirection w:val="lrTb"/>
            <w:noWrap w:val="false"/>
          </w:tcPr>
          <w:p>
            <w:pPr>
              <w:pStyle w:val="72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护理人员上门服务</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专业护理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口腔清洁、护理及指导</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根据照护对象的生活自理能力，鼓励并协助有自理能力或上肢功能良好的半自理照护对象采用漱口、自行刷牙的方法清洁口腔；对不能自理的采用棉棒、棉球擦拭清洁口腔（包括活动性假牙护理）。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初级及以上技能等级的养老护理员</w:t>
            </w:r>
            <w:r/>
          </w:p>
        </w:tc>
      </w:tr>
      <w:tr>
        <w:trPr>
          <w:tblCellSpacing w:w="0" w:type="dxa"/>
          <w:trHeight w:val="274"/>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协助进食、进水及指导</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根据照护对象的病情、饮食种类、液体出入量、自行进食能力，选择恰当的餐具、进餐体位、食品种类让照护对象摄入充足的水分和食物，做好照护对象及家属的安全教育，增强自我防范意识，指导噎食、误吸的预防及应急处理方法。</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685"/>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压疮预防及指导</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对易发生压疮的照护对象采取定时翻身、减压工具等方法预防压疮的发生。为照护对象提供心理支持及压疮护理的健康指导。</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743"/>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协助叩背排痰及指导</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根据照护对象的病情、有无手术、引流管、骨折和牵引等，选择合适的翻身频次、体位、方式帮助照护对象翻身叩背，促进排痰。</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800"/>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鼻饲进食及指导</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对需要鼻饲进食的照护对象，按照其疾病及特殊饮食需求，选择进食类型和加工方式， 协助其进行鼻饲进食，做好风险评估、知情同意相关事宜。</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1014"/>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restart"/>
            <w:textDirection w:val="lrTb"/>
            <w:noWrap w:val="false"/>
          </w:tcPr>
          <w:p>
            <w:pPr>
              <w:pStyle w:val="72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护理人员上门服务</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康复训练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日常生活能力训练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根据照护对象进食、洗澡、修饰、穿脱衣、如厕等日常生活自理能力的评定及身心状况，遵医嘱循序渐进地进行更衣、进食、转移、如厕、手指精细动作等训练，利用辅助性用具，增强照护对象日常生活自理能力。</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康复医师、康复治疗师、护士或中级及以上技能等级的养老护理员</w:t>
            </w:r>
            <w:r/>
          </w:p>
        </w:tc>
      </w:tr>
      <w:tr>
        <w:trPr>
          <w:tblCellSpacing w:w="0" w:type="dxa"/>
          <w:trHeight w:val="1011"/>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体位摆放指导</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根据照护对象的病情及身心状态，遵医嘱循序渐进地进行健侧卧位、患侧卧位、仰卧位、半卧位等治疗性体位摆放，防止偏瘫关节挛缩、预防压疮等。以照护对象耐受度为限，及时观察训练效果及不良反应。</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1451"/>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体位转移训练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根据照护对象的病情及身心状态，遵医嘱循序渐进地进行床上翻身、床上移动、坐位训练、轮椅向床、床上向轮椅等训练，以减少并发症，预防跌倒坠床等。以照护对象耐受度为限，及时观察训练效果及不良反应。</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1133"/>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平衡训练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根据照护对象的病情及身心状态，遵医嘱循序渐进地进行坐位平衡、静态平衡、坐卧位转换、坐位重心转移等训练，以提高身体稳定性。以照护对象耐受度为限，及时观察训练效果及不良反应。</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1012"/>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上肢训练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根据照护对象的病情及身心状态，遵医嘱循序渐进地进行手部抓握、指腹抓握、肩肘关节等训练，以提高上肢活动能力，延缓肌肉关节功能衰退。以照护对象耐受度为限， 及时观察训练效果及不良反应。</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1009"/>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呼吸功能训练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根据照护对象的病情及身心状态，遵医嘱循序渐进地进行放松训练、缩唇呼吸、腹式呼吸、排痰训练、健肺操等训练，预防及减少肺部感染。以照护对象耐受度为限，及时观察训练效果及不良反应。</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1011"/>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吞咽功能训练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根据照护对象的吞咽功能评定及身心状态，遵医嘱循序渐进地进行唇舌训练、发声练习、空咽练习、吞咽咀嚼等训练，以减少误吸，维持营养摄入。以照护对象耐受度为限，及时观察训练效果及不良反应。</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274"/>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语言功能训练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根据照护对象的病情及身心状态，遵医嘱循序渐进地进行听觉、语言刺激、口腔运动训练、音量音调训练等方式，改善语言能力，预防心理障碍。以照护对象耐受度为限，及时观察训练效果及不良反应。</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1122"/>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restart"/>
            <w:textDirection w:val="lrTb"/>
            <w:noWrap w:val="false"/>
          </w:tcPr>
          <w:p>
            <w:pPr>
              <w:pStyle w:val="72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护理人员上门服务</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康复训练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失禁功能训练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根据照护对象的病情及身心状态，遵医嘱循序渐进地进行膀胱训练、盆底肌锻炼、肛门括约肌训练、定时排泄等方式，恢复控制排泄，减少尿路感染，降低护理负担。以照护对象耐受度为限，及时观察训练效果及不良反应。</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康复医师、康复治疗师、护士或中级及以上技能等级的养老护理员</w:t>
            </w:r>
            <w:r/>
          </w:p>
        </w:tc>
      </w:tr>
      <w:tr>
        <w:trPr>
          <w:tblCellSpacing w:w="0" w:type="dxa"/>
          <w:trHeight w:val="1394"/>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认知功能训练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根据照护对象的认知障碍评定及身心状态，遵医嘱循序渐进地进行作业训练、记忆训练、思维训练、音乐治疗、缅怀治疗等方式，维持残存的脑功能，提高日常生活能力。以照护对象耐受度为限，及时观察训练效果及不良反应。</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416"/>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家庭培训</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照护培训</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为照护对象及非专业照护者提供系统性教育与技能指导，旨在提升其居家照护能力，确保照护对象在家庭环境中获得安全、科学且人性化的护理支持。主要通过入户服务即时培训指导或线上培训等方式进行理论讲解、实操演练、情景模拟等，内容包括老年人照护基础知识、日常照护规范、专业照护技能、安全防范与风险知识、心理照护与支持等。</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护士、 高级及以上技能等级的养老护理员</w:t>
            </w:r>
            <w:r/>
          </w:p>
        </w:tc>
      </w:tr>
      <w:tr>
        <w:trPr>
          <w:tblCellSpacing w:w="0" w:type="dxa"/>
          <w:trHeight w:val="563"/>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restart"/>
            <w:textDirection w:val="lrTb"/>
            <w:noWrap w:val="false"/>
          </w:tcPr>
          <w:p>
            <w:pPr>
              <w:pStyle w:val="72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护工上门服务</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生活照料</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助餐</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上门烹饪、协助老年人前往老年人助餐点就餐、送餐上门等。</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经培训合格的护工或助老员</w:t>
            </w:r>
            <w:r/>
          </w:p>
        </w:tc>
      </w:tr>
      <w:tr>
        <w:trPr>
          <w:tblCellSpacing w:w="0" w:type="dxa"/>
          <w:trHeight w:val="555"/>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助洁</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洗漱、剪发剃须、洗脚、剪指（趾）甲等身体助洁服务。</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556"/>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助行</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协助行走、陪伴外出、参加活动等。</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558"/>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助急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紧急呼叫受理、紧急转介等。</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555"/>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助医</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陪同就医、治疗陪伴等。</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824"/>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探访关爱</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上门探访</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了解掌握老年人的健康状况、精神状况、安全情况、卫生状况、居室环境、服务需求等。</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565"/>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restart"/>
            <w:textDirection w:val="lrTb"/>
            <w:noWrap w:val="false"/>
          </w:tcPr>
          <w:p>
            <w:pPr>
              <w:pStyle w:val="72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护工上门服务</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健康管理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信息采集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采集老年人的体检信息、既往疾病史等健康信息，建立老年人健康档案等。</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经培训合格的护工或助老员</w:t>
            </w:r>
            <w:r/>
          </w:p>
        </w:tc>
      </w:tr>
      <w:tr>
        <w:trPr>
          <w:tblCellSpacing w:w="0" w:type="dxa"/>
          <w:trHeight w:val="568"/>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健康咨询</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为老年人提供防跌倒、疾病预防、用药提醒与指导、膳食营养、康复保健等指导。</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566"/>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健康监测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监测体温、体重、血压、呼吸、心率、血糖等常规生理指标。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568"/>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精神慰藉</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亲情陪护</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定期协助有意愿的老年人外出活动或前往服务机构参加集体活动。</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565"/>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情绪疏导</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与老年人进行谈心、交流，耐心倾听老年人的诉说。</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565"/>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心理慰藉</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通过心理健康教育、心理干预手段调整老年人心理状态。</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563"/>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restart"/>
            <w:textDirection w:val="lrTb"/>
            <w:noWrap w:val="false"/>
          </w:tcPr>
          <w:p>
            <w:pPr>
              <w:pStyle w:val="72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家政上门服务</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保洁整理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物品清洁</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家具、器物（玻璃、油烟机、空调、洗衣机、冰箱）等物品保洁。</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经培训合格的护工或助老员</w:t>
            </w:r>
            <w:r/>
          </w:p>
        </w:tc>
      </w:tr>
      <w:tr>
        <w:trPr>
          <w:tblCellSpacing w:w="0" w:type="dxa"/>
          <w:trHeight w:val="556"/>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起居照顾</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定期翻晒、更换床上用品，保持床铺清洁等。</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558"/>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居室清洁</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居家清洁、物品整理、衣物洗涤及收纳等普通清洁服务。</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555"/>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restart"/>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委托代办</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代购物品</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代购日常生活用品、果蔬等。</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556"/>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代缴费用</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代缴水、电、气、通讯费等日常费用。</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274"/>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代订代取</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代订车票、预约车辆、代取送信函、文件和物品等。</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Mar>
              <w:left w:w="108" w:type="dxa"/>
              <w:right w:w="108" w:type="dxa"/>
            </w:tcMar>
            <w:tcW w:w="709"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0" w:type="dxa"/>
            <w:vAlign w:val="center"/>
            <w:vMerge w:val="continue"/>
            <w:textDirection w:val="lrTb"/>
            <w:noWrap w:val="false"/>
          </w:tcPr>
          <w:p>
            <w:pPr>
              <w:rPr>
                <w:rFonts w:hint="eastAsia" w:ascii="宋体"/>
                <w:sz w:val="24"/>
                <w:szCs w:val="24"/>
              </w:rPr>
            </w:pPr>
            <w:r>
              <w:rPr>
                <w:rFonts w:hint="eastAsia" w:asci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6"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代为申请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1" w:type="dxa"/>
            <w:vAlign w:val="center"/>
            <w:textDirection w:val="lrTb"/>
            <w:noWrap w:val="false"/>
          </w:tcPr>
          <w:p>
            <w:pPr>
              <w:pStyle w:val="724"/>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代为申请法律援助、救助服务等。</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34" w:type="dxa"/>
            <w:vAlign w:val="center"/>
            <w:vMerge w:val="continue"/>
            <w:textDirection w:val="lrTb"/>
            <w:noWrap w:val="false"/>
          </w:tcPr>
          <w:p>
            <w:pPr>
              <w:rPr>
                <w:rFonts w:hint="eastAsia" w:ascii="宋体"/>
                <w:sz w:val="24"/>
                <w:szCs w:val="24"/>
              </w:rPr>
            </w:pPr>
            <w:r>
              <w:rPr>
                <w:rFonts w:hint="eastAsia" w:ascii="宋体"/>
                <w:sz w:val="24"/>
                <w:szCs w:val="24"/>
              </w:rPr>
            </w:r>
            <w:r/>
          </w:p>
        </w:tc>
      </w:tr>
    </w:tbl>
    <w:p>
      <w:pPr>
        <w:pStyle w:val="724"/>
        <w:ind w:left="0" w:firstLine="420"/>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t xml:space="preserve"> </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有关要求</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1</w:t>
      </w:r>
      <w:r>
        <w:rPr>
          <w:rFonts w:hint="eastAsia" w:ascii="宋体" w:hAnsi="宋体" w:eastAsia="宋体" w:cs="宋体"/>
          <w:color w:val="000000"/>
          <w:sz w:val="24"/>
          <w:szCs w:val="24"/>
        </w:rPr>
        <w:t xml:space="preserve">、本项目居家养老上门服务的1人次是指项目执行时间内（2026 年1月底前）须为同一位服务对象累计提供30次及以上服务（其中医护人员上门服务至少1次），且医护人员上门服务每次不低于1小时，护理员、护工、家政上门服务每次不低于1.5小时，服务价格不高于60元/次。康复护理项目应做好事前准备与事后观察。</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2</w:t>
      </w:r>
      <w:r>
        <w:rPr>
          <w:rFonts w:hint="eastAsia" w:ascii="宋体" w:hAnsi="宋体" w:eastAsia="宋体" w:cs="宋体"/>
          <w:color w:val="000000"/>
          <w:sz w:val="24"/>
          <w:szCs w:val="24"/>
        </w:rPr>
        <w:t xml:space="preserve">、建设家庭养老床位的服务对象，可同时享受项目提供的居家养老上门服务；与本地原居家养老上门服务、长期护理保险内容重复的，按就高原则提供。</w:t>
      </w:r>
      <w:r/>
    </w:p>
    <w:p>
      <w:pPr>
        <w:pStyle w:val="724"/>
        <w:ind w:left="0" w:firstLine="480"/>
        <w:jc w:val="both"/>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四、商务要求</w:t>
      </w:r>
      <w:r/>
    </w:p>
    <w:p>
      <w:pPr>
        <w:pStyle w:val="724"/>
        <w:ind w:left="0" w:firstLine="480"/>
        <w:jc w:val="both"/>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1、服务周期</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合同履行期限：</w:t>
      </w:r>
      <w:r>
        <w:rPr>
          <w:rFonts w:hint="eastAsia" w:ascii="宋体" w:hAnsi="宋体"/>
          <w:sz w:val="24"/>
          <w:szCs w:val="24"/>
          <w:lang w:val="en-US" w:eastAsia="zh-CN"/>
        </w:rPr>
        <w:t xml:space="preserve">居家上门服务从合同签订之日起至2026年1月底，并通过采购人验收。2026年2月将家庭养老床位建设和居家养老上门服务组织实施、任务完成、资金使用、绩效评价等情况，形成工作总结，并整理完善相关工作台账和档案资料。</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2、服务质量：合格</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3、项目验收</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（1）采购人依法组织履约验收工作</w:t>
      </w:r>
      <w:r>
        <w:rPr>
          <w:rFonts w:hint="eastAsia" w:ascii="宋体" w:hAnsi="宋体" w:eastAsia="宋体" w:cs="宋体"/>
          <w:color w:val="000000"/>
          <w:sz w:val="24"/>
          <w:szCs w:val="24"/>
          <w:lang w:val="en-US" w:eastAsia="zh-CN"/>
        </w:rPr>
        <w:t xml:space="preserve">,参照下表内容</w:t>
      </w:r>
      <w:r>
        <w:rPr>
          <w:rFonts w:hint="eastAsia" w:ascii="宋体" w:hAnsi="宋体" w:eastAsia="宋体" w:cs="宋体"/>
          <w:color w:val="000000"/>
          <w:sz w:val="24"/>
          <w:szCs w:val="24"/>
        </w:rPr>
        <w:t xml:space="preserve">。</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项目期满后，供应商需在7个工作日内整理汇总照料护理服务台账资料，形成项目成果报告，提交</w:t>
      </w:r>
      <w:r>
        <w:rPr>
          <w:rFonts w:hint="eastAsia" w:ascii="宋体" w:hAnsi="宋体" w:eastAsia="宋体" w:cs="宋体"/>
          <w:color w:val="000000"/>
          <w:sz w:val="24"/>
          <w:szCs w:val="24"/>
          <w:lang w:eastAsia="zh-CN"/>
        </w:rPr>
        <w:t xml:space="preserve">县民政局</w:t>
      </w:r>
      <w:r>
        <w:rPr>
          <w:rFonts w:hint="eastAsia" w:ascii="宋体" w:hAnsi="宋体" w:eastAsia="宋体" w:cs="宋体"/>
          <w:color w:val="000000"/>
          <w:sz w:val="24"/>
          <w:szCs w:val="24"/>
        </w:rPr>
        <w:t xml:space="preserve">。</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（3）采购人邀请实际使用人参与验收。</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（4）如有必要，采购人邀请参加本项目的其他供应商或第三方专业机构及专家参与验收，相关意见将作为验收书的参考资料。</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采购人在供应商提交成果后30个工作日内开展验收评估。采购人成立验收小组，按照采购合同的约定对供应商的履约情况进行验收。验收时,采购人按照采购合同的约定对每一项技术、服务、安全标准的履约情况进行确认，主要以查阅台账资料、查询信息系统、查询中标服务机构的线上线下监管情况，并结合日常随机入户走访抽查情况。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验收合格的项目,采购人根据采购合同的约定及时向供应商支付合同款项、退还履约保证金。验收不合格的项目，采购人依法及时处理。采购合同的履行、违约责任和解决争议的方式等适用《中华人民共和国民法典》。供应商在履约过程中有政府采购法律法规规定的违法违规情形的,采购人将及时报告本级财政部门。</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4、报价要求及结算方式</w:t>
      </w:r>
      <w:r/>
    </w:p>
    <w:p>
      <w:pPr>
        <w:pStyle w:val="724"/>
        <w:ind w:left="0" w:firstLine="420"/>
        <w:keepLines w:val="0"/>
        <w:keepNext w:val="0"/>
        <w:spacing w:before="0" w:beforeAutospacing="0" w:after="0" w:afterAutospacing="0" w:line="0"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按照固定价格60元/人次进行结算</w:t>
      </w:r>
      <w:r>
        <w:rPr>
          <w:rFonts w:hint="eastAsia" w:ascii="宋体" w:hAnsi="宋体" w:eastAsia="宋体" w:cs="宋体"/>
          <w:color w:val="000000"/>
          <w:sz w:val="24"/>
          <w:szCs w:val="24"/>
        </w:rPr>
        <w:t xml:space="preserve">。</w:t>
      </w:r>
      <w:r/>
    </w:p>
    <w:p>
      <w:pPr>
        <w:pStyle w:val="724"/>
        <w:ind w:left="0" w:firstLine="420"/>
        <w:keepLines w:val="0"/>
        <w:keepNext w:val="0"/>
        <w:spacing w:before="0" w:beforeAutospacing="0" w:after="0" w:afterAutospacing="0" w:line="0"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（2）本项目采用总承包方式，</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报价应包括但不限于前期调查、评估、设计服务的费用、投标产品价格、运输费、安装调试运维费、检测验收费、培训费、居家上门服务费、管理费、利润、税金等所发生的不可预见费及其它相关费用等一切应有费用。上述报价中已包括本项目招标代理费，均由</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支付。凡漏项或少计或多提供服务均视为优惠，采购人不另行增加费用。各类风险和政策性调整等风险已包括在投标报价中，结算时除合同约定调整外一律不予调整。</w:t>
      </w:r>
      <w:r/>
    </w:p>
    <w:p>
      <w:pPr>
        <w:pStyle w:val="724"/>
        <w:ind w:left="0" w:firstLine="420"/>
        <w:keepLines w:val="0"/>
        <w:keepNext w:val="0"/>
        <w:spacing w:before="0" w:beforeAutospacing="0" w:after="0" w:afterAutospacing="0" w:line="0"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）采用固定</w:t>
      </w:r>
      <w:r>
        <w:rPr>
          <w:rFonts w:hint="eastAsia" w:ascii="宋体" w:hAnsi="宋体" w:eastAsia="宋体" w:cs="宋体"/>
          <w:color w:val="000000"/>
          <w:sz w:val="24"/>
          <w:szCs w:val="24"/>
          <w:lang w:eastAsia="zh-CN"/>
        </w:rPr>
        <w:t xml:space="preserve">报价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系统内报价统一填写</w:t>
      </w:r>
      <w:r>
        <w:rPr>
          <w:rFonts w:hint="eastAsia" w:cs="宋体"/>
          <w:color w:val="000000"/>
          <w:sz w:val="24"/>
          <w:szCs w:val="24"/>
          <w:lang w:val="en-US" w:eastAsia="zh-CN"/>
        </w:rPr>
        <w:t xml:space="preserve">60</w:t>
      </w:r>
      <w:r>
        <w:rPr>
          <w:rFonts w:hint="eastAsia" w:ascii="宋体" w:hAnsi="宋体" w:eastAsia="宋体" w:cs="宋体"/>
          <w:color w:val="000000"/>
          <w:sz w:val="24"/>
          <w:szCs w:val="24"/>
          <w:lang w:val="en-US" w:eastAsia="zh-CN"/>
        </w:rPr>
        <w:t xml:space="preserve">，结算价按照固定价格60元/人次进行结算</w:t>
      </w:r>
      <w:r>
        <w:rPr>
          <w:rFonts w:hint="eastAsia" w:ascii="宋体" w:hAnsi="宋体" w:eastAsia="宋体" w:cs="宋体"/>
          <w:color w:val="000000"/>
          <w:sz w:val="24"/>
          <w:szCs w:val="24"/>
        </w:rPr>
        <w:t xml:space="preserve">。</w:t>
      </w:r>
      <w:r/>
    </w:p>
    <w:p>
      <w:pPr>
        <w:pStyle w:val="724"/>
        <w:ind w:left="0" w:firstLine="420"/>
        <w:keepLines w:val="0"/>
        <w:keepNext w:val="0"/>
        <w:spacing w:before="0" w:beforeAutospacing="0" w:after="0" w:afterAutospacing="0" w:line="0" w:lineRule="atLeas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w:t>
      </w:r>
      <w:r>
        <w:rPr>
          <w:rFonts w:hint="eastAsia"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）结算均已实际发生的数量为准计算。</w:t>
      </w:r>
      <w:r/>
    </w:p>
    <w:p>
      <w:pPr>
        <w:pStyle w:val="724"/>
        <w:ind w:left="0" w:firstLine="420"/>
        <w:keepLines w:val="0"/>
        <w:keepNext w:val="0"/>
        <w:spacing w:before="0" w:beforeAutospacing="0" w:after="0" w:afterAutospacing="0" w:line="0"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居家上门服务每个服务对象服务30次为1人次标准。</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5、付款方式</w:t>
      </w:r>
      <w:r/>
    </w:p>
    <w:p>
      <w:pPr>
        <w:pStyle w:val="724"/>
        <w:ind w:left="0" w:firstLine="480"/>
        <w:keepLines w:val="0"/>
        <w:keepNext w:val="0"/>
        <w:spacing w:before="0" w:beforeAutospacing="0" w:after="0" w:afterAutospacing="0" w:line="0"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合同签订后，采购人收到预付款发票后</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个工作日内，预付款支付比例：合同金额（按实际发生额）的30%</w:t>
      </w:r>
      <w:r>
        <w:rPr>
          <w:rFonts w:hint="eastAsia" w:ascii="宋体" w:hAnsi="宋体" w:eastAsia="宋体" w:cs="宋体"/>
          <w:color w:val="000000"/>
          <w:sz w:val="24"/>
          <w:szCs w:val="24"/>
          <w:lang w:eastAsia="zh-CN"/>
        </w:rPr>
        <w:t xml:space="preserve">，项目期满，完成采购人实际交办的全部任务并经过最终验收评估合格，经第三方审计机构出具审计报告后，按审计结果付款</w:t>
      </w:r>
      <w:r>
        <w:rPr>
          <w:rFonts w:hint="eastAsia" w:ascii="宋体" w:hAnsi="宋体" w:eastAsia="宋体" w:cs="宋体"/>
          <w:color w:val="000000"/>
          <w:sz w:val="24"/>
          <w:szCs w:val="24"/>
        </w:rPr>
        <w:t xml:space="preserve">（以上付款均无息）</w:t>
      </w:r>
      <w:r/>
    </w:p>
    <w:p>
      <w:pPr>
        <w:pStyle w:val="724"/>
        <w:ind w:left="0" w:firstLine="480"/>
        <w:keepLines w:val="0"/>
        <w:keepNext w:val="0"/>
        <w:spacing w:before="0" w:beforeAutospacing="0" w:after="0" w:afterAutospacing="0" w:line="0"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确定后该备注删除。）</w:t>
      </w:r>
      <w:r/>
    </w:p>
    <w:p>
      <w:pPr>
        <w:pStyle w:val="724"/>
        <w:numPr>
          <w:ilvl w:val="0"/>
          <w:numId w:val="6"/>
        </w:numPr>
        <w:ind w:left="0" w:firstLine="480"/>
        <w:keepLines w:val="0"/>
        <w:keepNext w:val="0"/>
        <w:spacing w:before="0" w:beforeAutospacing="0" w:after="0" w:afterAutospacing="0" w:line="0" w:lineRule="atLeast"/>
        <w:widowControl/>
        <w:rPr>
          <w:rFonts w:hint="eastAsia"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eastAsia="zh-CN"/>
        </w:rPr>
        <w:t xml:space="preserve">成果验收</w:t>
      </w:r>
      <w:r/>
    </w:p>
    <w:p>
      <w:pPr>
        <w:ind w:firstLine="480"/>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验收内容</w:t>
      </w:r>
      <w:r/>
    </w:p>
    <w:p>
      <w:p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成果验收内容主要包括2024年项目组织管理、规范标准制定、过程管理、资金管理、家庭养老床位建设完成情况、居家养老上门服务完成情况、配套支持保障、典型经验总结等八方面情况。</w:t>
      </w:r>
      <w:r/>
    </w:p>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验收安排</w:t>
      </w:r>
      <w:r/>
    </w:p>
    <w:p>
      <w:p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各地自评</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项目地区民政部门联合财政部门对照《验收评价标准》，对项目实施情况进行自我评价，形成自评打分表、自评报告、典型经验总结等自评材料。 </w:t>
      </w:r>
      <w:r/>
    </w:p>
    <w:p>
      <w:pPr>
        <w:ind w:firstLine="482"/>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验收评价标准</w:t>
      </w:r>
      <w:r/>
    </w:p>
    <w:tbl>
      <w:tblPr>
        <w:tblStyle w:val="70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0"/>
        <w:gridCol w:w="849"/>
        <w:gridCol w:w="555"/>
        <w:gridCol w:w="486"/>
        <w:gridCol w:w="6775"/>
      </w:tblGrid>
      <w:tr>
        <w:trPr>
          <w:jc w:val="center"/>
          <w:trHeight w:val="1007"/>
        </w:trPr>
        <w:tc>
          <w:tcPr>
            <w:tcW w:w="273" w:type="pct"/>
            <w:vAlign w:val="center"/>
            <w:textDirection w:val="lrTb"/>
            <w:noWrap w:val="false"/>
          </w:tcPr>
          <w:p>
            <w:pPr>
              <w:jc w:val="center"/>
              <w:spacing w:line="320" w:lineRule="atLeast"/>
              <w:widowControl/>
              <w:rPr>
                <w:rFonts w:hint="eastAsia" w:ascii="黑体" w:hAnsi="宋体" w:eastAsia="黑体" w:cs="黑体"/>
                <w:b w:val="0"/>
                <w:bCs w:val="0"/>
                <w:color w:val="000000"/>
                <w:sz w:val="24"/>
              </w:rPr>
            </w:pPr>
            <w:r>
              <w:rPr>
                <w:rFonts w:hint="eastAsia" w:ascii="黑体" w:hAnsi="宋体" w:eastAsia="黑体" w:cs="黑体"/>
                <w:b w:val="0"/>
                <w:bCs w:val="0"/>
                <w:color w:val="000000"/>
                <w:sz w:val="24"/>
              </w:rPr>
              <w:t xml:space="preserve">序号</w:t>
            </w:r>
            <w:r/>
          </w:p>
        </w:tc>
        <w:tc>
          <w:tcPr>
            <w:tcW w:w="463" w:type="pct"/>
            <w:vAlign w:val="center"/>
            <w:textDirection w:val="lrTb"/>
            <w:noWrap w:val="false"/>
          </w:tcPr>
          <w:p>
            <w:pPr>
              <w:jc w:val="center"/>
              <w:spacing w:line="320" w:lineRule="atLeast"/>
              <w:widowControl/>
              <w:rPr>
                <w:rFonts w:hint="eastAsia" w:ascii="黑体" w:hAnsi="宋体" w:eastAsia="黑体" w:cs="黑体"/>
                <w:b w:val="0"/>
                <w:bCs w:val="0"/>
                <w:color w:val="000000"/>
                <w:sz w:val="24"/>
              </w:rPr>
            </w:pPr>
            <w:r>
              <w:rPr>
                <w:rFonts w:hint="eastAsia" w:ascii="黑体" w:hAnsi="宋体" w:eastAsia="黑体" w:cs="黑体"/>
                <w:b w:val="0"/>
                <w:bCs w:val="0"/>
                <w:color w:val="000000"/>
                <w:sz w:val="24"/>
                <w:lang w:bidi="ar"/>
              </w:rPr>
              <w:t xml:space="preserve">验收指标</w:t>
            </w:r>
            <w:r/>
          </w:p>
        </w:tc>
        <w:tc>
          <w:tcPr>
            <w:tcW w:w="303" w:type="pct"/>
            <w:vAlign w:val="center"/>
            <w:textDirection w:val="lrTb"/>
            <w:noWrap w:val="false"/>
          </w:tcPr>
          <w:p>
            <w:pPr>
              <w:jc w:val="center"/>
              <w:spacing w:line="320" w:lineRule="atLeast"/>
              <w:widowControl/>
              <w:rPr>
                <w:rFonts w:hint="eastAsia" w:ascii="黑体" w:hAnsi="宋体" w:eastAsia="黑体" w:cs="黑体"/>
                <w:b w:val="0"/>
                <w:bCs w:val="0"/>
                <w:color w:val="000000"/>
                <w:sz w:val="24"/>
              </w:rPr>
            </w:pPr>
            <w:r>
              <w:rPr>
                <w:rFonts w:hint="eastAsia" w:ascii="黑体" w:hAnsi="宋体" w:eastAsia="黑体" w:cs="黑体"/>
                <w:b w:val="0"/>
                <w:bCs w:val="0"/>
                <w:color w:val="000000"/>
                <w:sz w:val="24"/>
                <w:lang w:bidi="ar"/>
              </w:rPr>
              <w:t xml:space="preserve">分值</w:t>
            </w:r>
            <w:r/>
          </w:p>
        </w:tc>
        <w:tc>
          <w:tcPr>
            <w:tcW w:w="265" w:type="pct"/>
            <w:vAlign w:val="center"/>
            <w:textDirection w:val="lrTb"/>
            <w:noWrap w:val="false"/>
          </w:tcPr>
          <w:p>
            <w:pPr>
              <w:jc w:val="center"/>
              <w:spacing w:line="320" w:lineRule="atLeast"/>
              <w:widowControl/>
              <w:rPr>
                <w:rFonts w:hint="eastAsia" w:ascii="黑体" w:hAnsi="宋体" w:eastAsia="黑体" w:cs="黑体"/>
                <w:b w:val="0"/>
                <w:bCs w:val="0"/>
                <w:color w:val="000000"/>
                <w:sz w:val="24"/>
              </w:rPr>
            </w:pPr>
            <w:r>
              <w:rPr>
                <w:rFonts w:hint="eastAsia" w:ascii="黑体" w:hAnsi="宋体" w:eastAsia="黑体" w:cs="黑体"/>
                <w:b w:val="0"/>
                <w:bCs w:val="0"/>
                <w:color w:val="000000"/>
                <w:sz w:val="24"/>
              </w:rPr>
              <w:t xml:space="preserve">最高得分</w:t>
            </w:r>
            <w:r/>
          </w:p>
        </w:tc>
        <w:tc>
          <w:tcPr>
            <w:tcW w:w="3694" w:type="pct"/>
            <w:vAlign w:val="center"/>
            <w:textDirection w:val="lrTb"/>
            <w:noWrap w:val="false"/>
          </w:tcPr>
          <w:p>
            <w:pPr>
              <w:ind w:firstLine="480"/>
              <w:jc w:val="center"/>
              <w:spacing w:line="320" w:lineRule="atLeast"/>
              <w:widowControl/>
              <w:rPr>
                <w:rFonts w:hint="eastAsia" w:ascii="黑体" w:hAnsi="宋体" w:eastAsia="黑体" w:cs="黑体"/>
                <w:b w:val="0"/>
                <w:bCs w:val="0"/>
                <w:color w:val="000000"/>
                <w:sz w:val="24"/>
              </w:rPr>
            </w:pPr>
            <w:r>
              <w:rPr>
                <w:rFonts w:hint="eastAsia" w:ascii="黑体" w:hAnsi="宋体" w:eastAsia="黑体" w:cs="黑体"/>
                <w:b w:val="0"/>
                <w:bCs w:val="0"/>
                <w:color w:val="000000"/>
                <w:sz w:val="24"/>
                <w:lang w:bidi="ar"/>
              </w:rPr>
              <w:t xml:space="preserve">得分标准</w:t>
            </w:r>
            <w:r/>
          </w:p>
        </w:tc>
      </w:tr>
      <w:tr>
        <w:trPr>
          <w:jc w:val="center"/>
          <w:trHeight w:val="695"/>
        </w:trPr>
        <w:tc>
          <w:tcPr>
            <w:tcW w:w="27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lang w:bidi="ar"/>
              </w:rPr>
              <w:t xml:space="preserve">1</w:t>
            </w:r>
            <w:r/>
          </w:p>
        </w:tc>
        <w:tc>
          <w:tcPr>
            <w:tcW w:w="463" w:type="pct"/>
            <w:vAlign w:val="center"/>
            <w:vMerge w:val="restart"/>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lang w:bidi="ar"/>
              </w:rPr>
              <w:t xml:space="preserve">组织管理</w:t>
            </w:r>
            <w:r/>
          </w:p>
        </w:tc>
        <w:tc>
          <w:tcPr>
            <w:tcW w:w="303" w:type="pct"/>
            <w:vAlign w:val="center"/>
            <w:vMerge w:val="restart"/>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val="en"/>
              </w:rPr>
            </w:pPr>
            <w:r>
              <w:rPr>
                <w:rFonts w:hint="eastAsia" w:ascii="方正仿宋_GBK" w:hAnsi="方正仿宋_GBK" w:eastAsia="方正仿宋_GBK" w:cs="方正仿宋_GBK"/>
                <w:b w:val="0"/>
                <w:bCs w:val="0"/>
                <w:color w:val="000000"/>
                <w:sz w:val="24"/>
                <w:lang w:bidi="ar"/>
              </w:rPr>
              <w:t xml:space="preserve">4</w:t>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val="en" w:eastAsia="zh-CN"/>
              </w:rPr>
            </w:pPr>
            <w:r>
              <w:rPr>
                <w:rFonts w:hint="eastAsia" w:ascii="方正仿宋_GBK" w:hAnsi="方正仿宋_GBK" w:eastAsia="方正仿宋_GBK" w:cs="方正仿宋_GBK"/>
                <w:b w:val="0"/>
                <w:bCs w:val="0"/>
                <w:color w:val="000000"/>
                <w:sz w:val="24"/>
                <w:lang w:val="en-US" w:eastAsia="zh-CN" w:bidi="ar"/>
              </w:rPr>
              <w:t xml:space="preserve">4</w:t>
            </w:r>
            <w:r/>
          </w:p>
        </w:tc>
        <w:tc>
          <w:tcPr>
            <w:tcW w:w="3694" w:type="pct"/>
            <w:vAlign w:val="center"/>
            <w:textDirection w:val="lrTb"/>
            <w:noWrap w:val="false"/>
          </w:tcPr>
          <w:p>
            <w:pPr>
              <w:jc w:val="left"/>
              <w:spacing w:line="360" w:lineRule="exact"/>
              <w:widowControl/>
              <w:rPr>
                <w:rFonts w:hint="eastAsia" w:ascii="方正仿宋_GBK" w:hAnsi="方正仿宋_GBK" w:eastAsia="方正仿宋_GBK" w:cs="方正仿宋_GBK"/>
                <w:b w:val="0"/>
                <w:bCs w:val="0"/>
                <w:color w:val="000000"/>
                <w:sz w:val="24"/>
                <w:lang w:eastAsia="zh-CN"/>
              </w:rPr>
            </w:pPr>
            <w:r>
              <w:rPr>
                <w:rFonts w:hint="eastAsia" w:ascii="方正仿宋_GBK" w:hAnsi="方正仿宋_GBK" w:eastAsia="方正仿宋_GBK" w:cs="方正仿宋_GBK"/>
                <w:b w:val="0"/>
                <w:bCs w:val="0"/>
                <w:color w:val="000000"/>
                <w:sz w:val="24"/>
                <w:lang w:eastAsia="zh-CN" w:bidi="ar"/>
              </w:rPr>
              <w:t xml:space="preserve">加强组织领导</w:t>
            </w:r>
            <w:r>
              <w:rPr>
                <w:rFonts w:hint="eastAsia" w:ascii="方正仿宋_GBK" w:hAnsi="方正仿宋_GBK" w:eastAsia="方正仿宋_GBK" w:cs="方正仿宋_GBK"/>
                <w:b w:val="0"/>
                <w:bCs w:val="0"/>
                <w:color w:val="000000"/>
                <w:sz w:val="24"/>
                <w:lang w:bidi="ar"/>
              </w:rPr>
              <w:t xml:space="preserve">，推动实施居家和社区基本养老服务提升行动项目（</w:t>
            </w:r>
            <w:r>
              <w:rPr>
                <w:rFonts w:hint="eastAsia" w:ascii="方正仿宋_GBK" w:hAnsi="方正仿宋_GBK" w:eastAsia="方正仿宋_GBK" w:cs="方正仿宋_GBK"/>
                <w:b w:val="0"/>
                <w:bCs w:val="0"/>
                <w:color w:val="000000"/>
                <w:sz w:val="24"/>
                <w:lang w:val="en-US" w:eastAsia="zh-CN" w:bidi="ar"/>
              </w:rPr>
              <w:t xml:space="preserve">4</w:t>
            </w:r>
            <w:r>
              <w:rPr>
                <w:rFonts w:hint="eastAsia" w:ascii="方正仿宋_GBK" w:hAnsi="方正仿宋_GBK" w:eastAsia="方正仿宋_GBK" w:cs="方正仿宋_GBK"/>
                <w:b w:val="0"/>
                <w:bCs w:val="0"/>
                <w:color w:val="000000"/>
                <w:sz w:val="24"/>
                <w:lang w:bidi="ar"/>
              </w:rPr>
              <w:t xml:space="preserve">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555"/>
        </w:trPr>
        <w:tc>
          <w:tcPr>
            <w:tcW w:w="27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val="en-US" w:eastAsia="zh-CN" w:bidi="ar"/>
              </w:rPr>
              <w:t xml:space="preserve">2</w:t>
            </w:r>
            <w:r/>
          </w:p>
        </w:tc>
        <w:tc>
          <w:tcPr>
            <w:tcW w:w="463" w:type="pct"/>
            <w:vAlign w:val="center"/>
            <w:vMerge w:val="restart"/>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规范标准</w:t>
            </w:r>
            <w:r/>
          </w:p>
          <w:p>
            <w:pPr>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lang w:bidi="ar"/>
              </w:rPr>
              <w:t xml:space="preserve">制定</w:t>
            </w:r>
            <w:r/>
          </w:p>
        </w:tc>
        <w:tc>
          <w:tcPr>
            <w:tcW w:w="303" w:type="pct"/>
            <w:vAlign w:val="center"/>
            <w:vMerge w:val="restart"/>
            <w:textDirection w:val="lrTb"/>
            <w:noWrap w:val="false"/>
          </w:tcPr>
          <w:p>
            <w:pPr>
              <w:jc w:val="center"/>
              <w:spacing w:line="360" w:lineRule="exact"/>
              <w:widowControl/>
              <w:rPr>
                <w:rFonts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t xml:space="preserve">6</w:t>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3</w:t>
            </w:r>
            <w:r/>
          </w:p>
        </w:tc>
        <w:tc>
          <w:tcPr>
            <w:tcW w:w="3694" w:type="pct"/>
            <w:vAlign w:val="center"/>
            <w:textDirection w:val="lrTb"/>
            <w:noWrap w:val="false"/>
          </w:tcPr>
          <w:p>
            <w:pPr>
              <w:jc w:val="left"/>
              <w:spacing w:line="360" w:lineRule="exact"/>
              <w:widowControl/>
              <w:rPr>
                <w:rFonts w:hint="eastAsia" w:ascii="方正仿宋_GBK" w:hAnsi="方正仿宋_GBK" w:eastAsia="方正仿宋_GBK" w:cs="方正仿宋_GBK"/>
                <w:b w:val="0"/>
                <w:bCs w:val="0"/>
                <w:color w:val="000000"/>
                <w:sz w:val="24"/>
                <w:lang w:eastAsia="zh-CN"/>
              </w:rPr>
            </w:pPr>
            <w:r>
              <w:rPr>
                <w:rFonts w:hint="eastAsia" w:ascii="方正仿宋_GBK" w:hAnsi="方正仿宋_GBK" w:eastAsia="方正仿宋_GBK" w:cs="方正仿宋_GBK"/>
                <w:b w:val="0"/>
                <w:bCs w:val="0"/>
                <w:color w:val="000000"/>
                <w:sz w:val="24"/>
                <w:lang w:bidi="ar"/>
              </w:rPr>
              <w:t xml:space="preserve">制定家庭养老床位适老化改造、智能化改造、老年用品配置清单或制定质量标准规范（3分）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542"/>
        </w:trPr>
        <w:tc>
          <w:tcPr>
            <w:tcW w:w="273" w:type="pct"/>
            <w:vAlign w:val="center"/>
            <w:textDirection w:val="lrTb"/>
            <w:noWrap w:val="false"/>
          </w:tcPr>
          <w:p>
            <w:pPr>
              <w:jc w:val="center"/>
              <w:spacing w:line="360" w:lineRule="exact"/>
              <w:widowControl/>
              <w:rPr>
                <w:rFonts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val="en-US" w:eastAsia="zh-CN" w:bidi="ar"/>
              </w:rPr>
              <w:t xml:space="preserve">3</w:t>
            </w:r>
            <w:r/>
          </w:p>
        </w:tc>
        <w:tc>
          <w:tcPr>
            <w:tcW w:w="46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30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3</w:t>
            </w:r>
            <w:r/>
          </w:p>
        </w:tc>
        <w:tc>
          <w:tcPr>
            <w:tcW w:w="3694" w:type="pct"/>
            <w:vAlign w:val="center"/>
            <w:textDirection w:val="lrTb"/>
            <w:noWrap w:val="false"/>
          </w:tcPr>
          <w:p>
            <w:pPr>
              <w:jc w:val="left"/>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制定居家养老上门服务内容清单或制定标准规范（3分）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804"/>
        </w:trPr>
        <w:tc>
          <w:tcPr>
            <w:tcW w:w="27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val="en-US" w:eastAsia="zh-CN" w:bidi="ar"/>
              </w:rPr>
              <w:t xml:space="preserve">4</w:t>
            </w:r>
            <w:r/>
          </w:p>
        </w:tc>
        <w:tc>
          <w:tcPr>
            <w:tcW w:w="463" w:type="pct"/>
            <w:vAlign w:val="center"/>
            <w:textDirection w:val="lrTb"/>
            <w:noWrap w:val="false"/>
          </w:tcPr>
          <w:p>
            <w:pPr>
              <w:jc w:val="center"/>
              <w:spacing w:line="360" w:lineRule="exact"/>
              <w:widowControl/>
              <w:rPr>
                <w:rFonts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过程管理</w:t>
            </w:r>
            <w:r/>
          </w:p>
        </w:tc>
        <w:tc>
          <w:tcPr>
            <w:tcW w:w="303" w:type="pct"/>
            <w:vAlign w:val="center"/>
            <w:textDirection w:val="lrTb"/>
            <w:noWrap w:val="false"/>
          </w:tcPr>
          <w:p>
            <w:pPr>
              <w:jc w:val="center"/>
              <w:spacing w:line="360" w:lineRule="exact"/>
              <w:widowControl/>
              <w:rPr>
                <w:rFonts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2</w:t>
            </w:r>
            <w:r/>
          </w:p>
        </w:tc>
        <w:tc>
          <w:tcPr>
            <w:tcW w:w="265" w:type="pct"/>
            <w:vAlign w:val="center"/>
            <w:textDirection w:val="lrTb"/>
            <w:noWrap w:val="false"/>
          </w:tcPr>
          <w:p>
            <w:pPr>
              <w:jc w:val="center"/>
              <w:spacing w:line="360" w:lineRule="exact"/>
              <w:widowControl/>
              <w:rPr>
                <w:rFonts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2</w:t>
            </w:r>
            <w:r/>
          </w:p>
        </w:tc>
        <w:tc>
          <w:tcPr>
            <w:tcW w:w="3694" w:type="pct"/>
            <w:vAlign w:val="center"/>
            <w:textDirection w:val="lrTb"/>
            <w:noWrap w:val="false"/>
          </w:tcPr>
          <w:p>
            <w:pPr>
              <w:jc w:val="left"/>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eastAsia="zh-CN" w:bidi="ar"/>
              </w:rPr>
              <w:t xml:space="preserve">在民政部</w:t>
            </w:r>
            <w:r>
              <w:rPr>
                <w:rFonts w:hint="eastAsia" w:ascii="方正仿宋_GBK" w:hAnsi="方正仿宋_GBK" w:eastAsia="方正仿宋_GBK" w:cs="方正仿宋_GBK"/>
                <w:b w:val="0"/>
                <w:bCs w:val="0"/>
                <w:color w:val="000000"/>
                <w:sz w:val="24"/>
                <w:lang w:bidi="ar"/>
              </w:rPr>
              <w:t xml:space="preserve">季度通报中被点名表扬的，一次得1分，最多不超过2分；被通报提醒的，一次扣1分，最多扣2分（2分）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524"/>
        </w:trPr>
        <w:tc>
          <w:tcPr>
            <w:tcW w:w="27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val="en-US" w:eastAsia="zh-CN" w:bidi="ar"/>
              </w:rPr>
              <w:t xml:space="preserve">5</w:t>
            </w:r>
            <w:r/>
          </w:p>
        </w:tc>
        <w:tc>
          <w:tcPr>
            <w:tcW w:w="463" w:type="pct"/>
            <w:vAlign w:val="center"/>
            <w:vMerge w:val="restart"/>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资金管理</w:t>
            </w:r>
            <w:r/>
          </w:p>
        </w:tc>
        <w:tc>
          <w:tcPr>
            <w:tcW w:w="303" w:type="pct"/>
            <w:vAlign w:val="center"/>
            <w:vMerge w:val="restart"/>
            <w:textDirection w:val="lrTb"/>
            <w:noWrap w:val="false"/>
          </w:tcPr>
          <w:p>
            <w:pPr>
              <w:jc w:val="center"/>
              <w:spacing w:line="360" w:lineRule="exact"/>
              <w:widowControl/>
              <w:rPr>
                <w:rFonts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16</w:t>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1</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项目地区制定项目资金使用管理制度（1分）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842"/>
        </w:trPr>
        <w:tc>
          <w:tcPr>
            <w:tcW w:w="27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val="en-US" w:eastAsia="zh-CN" w:bidi="ar"/>
              </w:rPr>
              <w:t xml:space="preserve">6</w:t>
            </w:r>
            <w:r/>
          </w:p>
        </w:tc>
        <w:tc>
          <w:tcPr>
            <w:tcW w:w="463" w:type="pct"/>
            <w:vAlign w:val="center"/>
            <w:vMerge w:val="continue"/>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r>
            <w:r/>
          </w:p>
        </w:tc>
        <w:tc>
          <w:tcPr>
            <w:tcW w:w="303" w:type="pct"/>
            <w:vAlign w:val="center"/>
            <w:vMerge w:val="continue"/>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r>
            <w:r/>
          </w:p>
        </w:tc>
        <w:tc>
          <w:tcPr>
            <w:tcW w:w="265" w:type="pct"/>
            <w:vAlign w:val="center"/>
            <w:textDirection w:val="lrTb"/>
            <w:noWrap w:val="false"/>
          </w:tcPr>
          <w:p>
            <w:pPr>
              <w:jc w:val="center"/>
              <w:spacing w:line="360" w:lineRule="exact"/>
              <w:widowControl/>
              <w:rPr>
                <w:rFonts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4</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“项目配套资金/中央专项彩票公益金支持金额”的比值，≥1得4分</w:t>
            </w:r>
            <w:r>
              <w:rPr>
                <w:rFonts w:hint="eastAsia" w:ascii="方正仿宋_GBK" w:hAnsi="方正仿宋_GBK" w:eastAsia="方正仿宋_GBK" w:cs="方正仿宋_GBK"/>
                <w:b w:val="0"/>
                <w:bCs w:val="0"/>
                <w:color w:val="000000"/>
                <w:sz w:val="24"/>
                <w:lang w:eastAsia="zh-CN" w:bidi="ar"/>
              </w:rPr>
              <w:t xml:space="preserve">；比值&lt;</w:t>
            </w:r>
            <w:r>
              <w:rPr>
                <w:rFonts w:hint="eastAsia" w:ascii="方正仿宋_GBK" w:hAnsi="方正仿宋_GBK" w:eastAsia="方正仿宋_GBK" w:cs="方正仿宋_GBK"/>
                <w:b w:val="0"/>
                <w:bCs w:val="0"/>
                <w:color w:val="000000"/>
                <w:sz w:val="24"/>
                <w:lang w:val="en-US" w:eastAsia="zh-CN" w:bidi="ar"/>
              </w:rPr>
              <w:t xml:space="preserve">1，</w:t>
            </w:r>
            <w:r>
              <w:rPr>
                <w:rFonts w:hint="eastAsia" w:ascii="方正仿宋_GBK" w:hAnsi="方正仿宋_GBK" w:eastAsia="方正仿宋_GBK" w:cs="方正仿宋_GBK"/>
                <w:b w:val="0"/>
                <w:bCs w:val="0"/>
                <w:color w:val="000000"/>
                <w:sz w:val="24"/>
                <w:lang w:bidi="ar"/>
              </w:rPr>
              <w:t xml:space="preserve">按</w:t>
            </w:r>
            <w:r>
              <w:rPr>
                <w:rFonts w:hint="eastAsia" w:ascii="方正仿宋_GBK" w:hAnsi="方正仿宋_GBK" w:eastAsia="方正仿宋_GBK" w:cs="方正仿宋_GBK"/>
                <w:b w:val="0"/>
                <w:bCs w:val="0"/>
                <w:color w:val="000000"/>
                <w:sz w:val="24"/>
                <w:lang w:eastAsia="zh-CN" w:bidi="ar"/>
              </w:rPr>
              <w:t xml:space="preserve">“</w:t>
            </w:r>
            <w:r>
              <w:rPr>
                <w:rFonts w:hint="eastAsia" w:ascii="方正仿宋_GBK" w:hAnsi="方正仿宋_GBK" w:eastAsia="方正仿宋_GBK" w:cs="方正仿宋_GBK"/>
                <w:b w:val="0"/>
                <w:bCs w:val="0"/>
                <w:color w:val="000000"/>
                <w:sz w:val="24"/>
                <w:lang w:bidi="ar"/>
              </w:rPr>
              <w:t xml:space="preserve">项目</w:t>
            </w:r>
            <w:r>
              <w:rPr>
                <w:rFonts w:hint="eastAsia" w:ascii="方正仿宋_GBK" w:hAnsi="方正仿宋_GBK" w:eastAsia="方正仿宋_GBK" w:cs="方正仿宋_GBK"/>
                <w:b w:val="0"/>
                <w:bCs w:val="0"/>
                <w:color w:val="000000"/>
                <w:sz w:val="24"/>
                <w:lang w:eastAsia="zh-CN" w:bidi="ar"/>
              </w:rPr>
              <w:t xml:space="preserve">配套资金</w:t>
            </w:r>
            <w:r>
              <w:rPr>
                <w:rFonts w:hint="eastAsia" w:ascii="方正仿宋_GBK" w:hAnsi="方正仿宋_GBK" w:eastAsia="方正仿宋_GBK" w:cs="方正仿宋_GBK"/>
                <w:b w:val="0"/>
                <w:bCs w:val="0"/>
                <w:color w:val="000000"/>
                <w:sz w:val="24"/>
                <w:lang w:bidi="ar"/>
              </w:rPr>
              <w:t xml:space="preserve">/中央专项彩票公益金支持金额</w:t>
            </w:r>
            <w:r>
              <w:rPr>
                <w:rFonts w:hint="eastAsia" w:ascii="方正仿宋_GBK" w:hAnsi="方正仿宋_GBK" w:eastAsia="方正仿宋_GBK" w:cs="方正仿宋_GBK"/>
                <w:b w:val="0"/>
                <w:bCs w:val="0"/>
                <w:color w:val="000000"/>
                <w:sz w:val="24"/>
                <w:lang w:eastAsia="zh-CN" w:bidi="ar"/>
              </w:rPr>
              <w:t xml:space="preserve">×4”得分</w:t>
            </w:r>
            <w:r>
              <w:rPr>
                <w:rFonts w:hint="eastAsia" w:ascii="方正仿宋_GBK" w:hAnsi="方正仿宋_GBK" w:eastAsia="方正仿宋_GBK" w:cs="方正仿宋_GBK"/>
                <w:b w:val="0"/>
                <w:bCs w:val="0"/>
                <w:color w:val="000000"/>
                <w:sz w:val="24"/>
                <w:lang w:bidi="ar"/>
              </w:rPr>
              <w:t xml:space="preserve">（4分）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440"/>
        </w:trPr>
        <w:tc>
          <w:tcPr>
            <w:tcW w:w="27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val="en-US" w:eastAsia="zh-CN" w:bidi="ar"/>
              </w:rPr>
              <w:t xml:space="preserve">7</w:t>
            </w:r>
            <w:r/>
          </w:p>
        </w:tc>
        <w:tc>
          <w:tcPr>
            <w:tcW w:w="46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30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4</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资金执行进度达到100%的，得4分；90%（含）—100%的得3分；80%（含）—90%的减3分；低于80%的减4分（4分）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897"/>
        </w:trPr>
        <w:tc>
          <w:tcPr>
            <w:tcW w:w="27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val="en-US" w:eastAsia="zh-CN" w:bidi="ar"/>
              </w:rPr>
              <w:t xml:space="preserve">8</w:t>
            </w:r>
            <w:r/>
          </w:p>
        </w:tc>
        <w:tc>
          <w:tcPr>
            <w:tcW w:w="46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30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val="en-US" w:eastAsia="zh-CN" w:bidi="ar"/>
              </w:rPr>
              <w:t xml:space="preserve">2</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服务提供主体符合《政府购买服务管理办法》政策要求（</w:t>
            </w:r>
            <w:r>
              <w:rPr>
                <w:rFonts w:hint="eastAsia" w:ascii="方正仿宋_GBK" w:hAnsi="方正仿宋_GBK" w:eastAsia="方正仿宋_GBK" w:cs="方正仿宋_GBK"/>
                <w:b w:val="0"/>
                <w:bCs w:val="0"/>
                <w:color w:val="000000"/>
                <w:sz w:val="24"/>
                <w:lang w:val="en-US" w:eastAsia="zh-CN" w:bidi="ar"/>
              </w:rPr>
              <w:t xml:space="preserve">1</w:t>
            </w:r>
            <w:r>
              <w:rPr>
                <w:rFonts w:hint="eastAsia" w:ascii="方正仿宋_GBK" w:hAnsi="方正仿宋_GBK" w:eastAsia="方正仿宋_GBK" w:cs="方正仿宋_GBK"/>
                <w:b w:val="0"/>
                <w:bCs w:val="0"/>
                <w:color w:val="000000"/>
                <w:sz w:val="24"/>
                <w:lang w:bidi="ar"/>
              </w:rPr>
              <w:t xml:space="preserve">分），服务提供主体的遴选确定程序符合《中华人民共和国政府采购法》、《中华人民共和国政府采购法实施条例》等政策要求（</w:t>
            </w:r>
            <w:r>
              <w:rPr>
                <w:rFonts w:hint="eastAsia" w:ascii="方正仿宋_GBK" w:hAnsi="方正仿宋_GBK" w:eastAsia="方正仿宋_GBK" w:cs="方正仿宋_GBK"/>
                <w:b w:val="0"/>
                <w:bCs w:val="0"/>
                <w:color w:val="000000"/>
                <w:sz w:val="24"/>
                <w:lang w:val="en-US" w:eastAsia="zh-CN" w:bidi="ar"/>
              </w:rPr>
              <w:t xml:space="preserve">1</w:t>
            </w:r>
            <w:r>
              <w:rPr>
                <w:rFonts w:hint="eastAsia" w:ascii="方正仿宋_GBK" w:hAnsi="方正仿宋_GBK" w:eastAsia="方正仿宋_GBK" w:cs="方正仿宋_GBK"/>
                <w:b w:val="0"/>
                <w:bCs w:val="0"/>
                <w:color w:val="000000"/>
                <w:sz w:val="24"/>
                <w:lang w:bidi="ar"/>
              </w:rPr>
              <w:t xml:space="preserve">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599"/>
        </w:trPr>
        <w:tc>
          <w:tcPr>
            <w:tcW w:w="27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rPr>
            </w:pPr>
            <w:r>
              <w:rPr>
                <w:rFonts w:hint="eastAsia" w:ascii="方正仿宋_GBK" w:hAnsi="方正仿宋_GBK" w:eastAsia="方正仿宋_GBK" w:cs="方正仿宋_GBK"/>
                <w:b w:val="0"/>
                <w:bCs w:val="0"/>
                <w:color w:val="000000"/>
                <w:sz w:val="24"/>
                <w:lang w:val="en-US" w:eastAsia="zh-CN" w:bidi="ar"/>
              </w:rPr>
              <w:t xml:space="preserve">9</w:t>
            </w:r>
            <w:r/>
          </w:p>
        </w:tc>
        <w:tc>
          <w:tcPr>
            <w:tcW w:w="46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30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lang w:bidi="ar"/>
              </w:rPr>
              <w:t xml:space="preserve">2</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rPr>
            </w:pPr>
            <w:r>
              <w:rPr>
                <w:rFonts w:hint="eastAsia" w:ascii="方正仿宋_GBK" w:hAnsi="方正仿宋_GBK" w:eastAsia="方正仿宋_GBK" w:cs="方正仿宋_GBK"/>
                <w:b w:val="0"/>
                <w:bCs w:val="0"/>
                <w:color w:val="000000"/>
                <w:sz w:val="24"/>
                <w:lang w:bidi="ar"/>
              </w:rPr>
              <w:t xml:space="preserve">项目地区所在民政、财政部门公布中央专项彩票公益金使用及项目进展情况（2分）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906"/>
        </w:trPr>
        <w:tc>
          <w:tcPr>
            <w:tcW w:w="273" w:type="pct"/>
            <w:vAlign w:val="center"/>
            <w:textDirection w:val="lrTb"/>
            <w:noWrap w:val="false"/>
          </w:tcPr>
          <w:p>
            <w:pPr>
              <w:jc w:val="center"/>
              <w:spacing w:line="360" w:lineRule="exact"/>
              <w:widowControl/>
              <w:rPr>
                <w:rFonts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lang w:bidi="ar"/>
              </w:rPr>
              <w:t xml:space="preserve">1</w:t>
            </w:r>
            <w:r>
              <w:rPr>
                <w:rFonts w:hint="eastAsia" w:ascii="方正仿宋_GBK" w:hAnsi="方正仿宋_GBK" w:eastAsia="方正仿宋_GBK" w:cs="方正仿宋_GBK"/>
                <w:b w:val="0"/>
                <w:bCs w:val="0"/>
                <w:color w:val="000000"/>
                <w:sz w:val="24"/>
                <w:lang w:val="en-US" w:eastAsia="zh-CN" w:bidi="ar"/>
              </w:rPr>
              <w:t xml:space="preserve">0</w:t>
            </w:r>
            <w:r/>
          </w:p>
        </w:tc>
        <w:tc>
          <w:tcPr>
            <w:tcW w:w="46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30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lang w:bidi="ar"/>
              </w:rPr>
              <w:t xml:space="preserve">3</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rPr>
            </w:pPr>
            <w:r>
              <w:rPr>
                <w:rFonts w:hint="eastAsia" w:ascii="方正仿宋_GBK" w:hAnsi="方正仿宋_GBK" w:eastAsia="方正仿宋_GBK" w:cs="方正仿宋_GBK"/>
                <w:b w:val="0"/>
                <w:bCs w:val="0"/>
                <w:color w:val="000000"/>
                <w:sz w:val="24"/>
                <w:lang w:bidi="ar"/>
              </w:rPr>
              <w:t xml:space="preserve">项目地区所在地市级财政部门按照直达资金管理有关规定，在收到资金指标文件30日内下达全部资金给区县民政部门（3分）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1490"/>
        </w:trPr>
        <w:tc>
          <w:tcPr>
            <w:tcW w:w="27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rPr>
            </w:pPr>
            <w:r>
              <w:rPr>
                <w:rFonts w:hint="eastAsia" w:ascii="方正仿宋_GBK" w:hAnsi="方正仿宋_GBK" w:eastAsia="方正仿宋_GBK" w:cs="方正仿宋_GBK"/>
                <w:b w:val="0"/>
                <w:bCs w:val="0"/>
                <w:color w:val="000000"/>
                <w:sz w:val="24"/>
                <w:lang w:bidi="ar"/>
              </w:rPr>
              <w:t xml:space="preserve">1</w:t>
            </w:r>
            <w:r>
              <w:rPr>
                <w:rFonts w:hint="eastAsia" w:ascii="方正仿宋_GBK" w:hAnsi="方正仿宋_GBK" w:eastAsia="方正仿宋_GBK" w:cs="方正仿宋_GBK"/>
                <w:b w:val="0"/>
                <w:bCs w:val="0"/>
                <w:color w:val="000000"/>
                <w:sz w:val="24"/>
                <w:lang w:val="en-US" w:eastAsia="zh-CN" w:bidi="ar"/>
              </w:rPr>
              <w:t xml:space="preserve">1</w:t>
            </w:r>
            <w:r/>
          </w:p>
        </w:tc>
        <w:tc>
          <w:tcPr>
            <w:tcW w:w="463" w:type="pct"/>
            <w:vAlign w:val="center"/>
            <w:vMerge w:val="restart"/>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t xml:space="preserve">家庭养老床位建设完成情况</w:t>
            </w:r>
            <w:r/>
          </w:p>
        </w:tc>
        <w:tc>
          <w:tcPr>
            <w:tcW w:w="303" w:type="pct"/>
            <w:vAlign w:val="center"/>
            <w:vMerge w:val="restart"/>
            <w:textDirection w:val="lrTb"/>
            <w:noWrap w:val="false"/>
          </w:tcPr>
          <w:p>
            <w:pPr>
              <w:jc w:val="center"/>
              <w:spacing w:line="360" w:lineRule="exact"/>
              <w:widowControl/>
              <w:rPr>
                <w:rFonts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t xml:space="preserve">26</w:t>
            </w:r>
            <w:r/>
          </w:p>
        </w:tc>
        <w:tc>
          <w:tcPr>
            <w:tcW w:w="265" w:type="pct"/>
            <w:vAlign w:val="center"/>
            <w:textDirection w:val="lrTb"/>
            <w:noWrap w:val="false"/>
          </w:tcPr>
          <w:p>
            <w:pPr>
              <w:jc w:val="center"/>
              <w:spacing w:line="360" w:lineRule="exact"/>
              <w:widowControl/>
              <w:rPr>
                <w:rFonts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18</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rPr>
            </w:pPr>
            <w:r>
              <w:rPr>
                <w:rFonts w:hint="eastAsia" w:ascii="方正仿宋_GBK" w:hAnsi="方正仿宋_GBK" w:eastAsia="方正仿宋_GBK" w:cs="方正仿宋_GBK"/>
                <w:b w:val="0"/>
                <w:bCs w:val="0"/>
                <w:color w:val="000000"/>
                <w:sz w:val="24"/>
                <w:highlight w:val="none"/>
                <w:lang w:bidi="ar"/>
              </w:rPr>
              <w:t xml:space="preserve">任务完成率=为项目对象建成家庭养老床位数/绩效目标任务量</w:t>
            </w:r>
            <w:r>
              <w:rPr>
                <w:rFonts w:hint="eastAsia" w:ascii="方正仿宋_GBK" w:hAnsi="方正仿宋_GBK" w:eastAsia="方正仿宋_GBK" w:cs="方正仿宋_GBK"/>
                <w:b w:val="0"/>
                <w:bCs w:val="0"/>
                <w:color w:val="000000"/>
                <w:sz w:val="24"/>
                <w:highlight w:val="none"/>
                <w:lang w:eastAsia="zh-CN" w:bidi="ar"/>
              </w:rPr>
              <w:t xml:space="preserve">，</w:t>
            </w:r>
            <w:r>
              <w:rPr>
                <w:rFonts w:hint="eastAsia" w:ascii="方正仿宋_GBK" w:hAnsi="方正仿宋_GBK" w:eastAsia="方正仿宋_GBK" w:cs="方正仿宋_GBK"/>
                <w:b w:val="0"/>
                <w:bCs w:val="0"/>
                <w:color w:val="000000"/>
                <w:sz w:val="24"/>
                <w:highlight w:val="none"/>
                <w:lang w:bidi="ar"/>
              </w:rPr>
              <w:t xml:space="preserve">按完成率*15分计算得出应得分值。超额完成10%以内的，加1分；超额完成10%（含）—20%，加2分；超额完成20%（含）及以上的，加3分（本项最高18分）</w:t>
            </w:r>
            <w:r>
              <w:rPr>
                <w:rFonts w:hint="eastAsia" w:ascii="方正仿宋_GBK" w:hAnsi="方正仿宋_GBK" w:eastAsia="方正仿宋_GBK" w:cs="方正仿宋_GBK"/>
                <w:b w:val="0"/>
                <w:bCs w:val="0"/>
                <w:color w:val="000000"/>
                <w:sz w:val="24"/>
                <w:highlight w:val="none"/>
                <w:lang w:eastAsia="zh-CN" w:bidi="ar"/>
              </w:rPr>
              <w:t xml:space="preserve">。</w:t>
            </w:r>
            <w:r/>
          </w:p>
        </w:tc>
      </w:tr>
      <w:tr>
        <w:trPr>
          <w:jc w:val="center"/>
          <w:trHeight w:val="740"/>
        </w:trPr>
        <w:tc>
          <w:tcPr>
            <w:tcW w:w="27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1</w:t>
            </w:r>
            <w:r>
              <w:rPr>
                <w:rFonts w:hint="eastAsia" w:ascii="方正仿宋_GBK" w:hAnsi="方正仿宋_GBK" w:eastAsia="方正仿宋_GBK" w:cs="方正仿宋_GBK"/>
                <w:b w:val="0"/>
                <w:bCs w:val="0"/>
                <w:color w:val="000000"/>
                <w:sz w:val="24"/>
                <w:lang w:val="en-US" w:eastAsia="zh-CN" w:bidi="ar"/>
              </w:rPr>
              <w:t xml:space="preserve">2</w:t>
            </w:r>
            <w:r/>
          </w:p>
        </w:tc>
        <w:tc>
          <w:tcPr>
            <w:tcW w:w="46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30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val="en-US" w:eastAsia="zh-CN" w:bidi="ar"/>
              </w:rPr>
              <w:t xml:space="preserve">2</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eastAsia="zh-CN" w:bidi="ar"/>
              </w:rPr>
              <w:t xml:space="preserve">对家庭养老床位建设</w:t>
            </w:r>
            <w:r>
              <w:rPr>
                <w:rFonts w:hint="eastAsia" w:ascii="方正仿宋_GBK" w:hAnsi="方正仿宋_GBK" w:eastAsia="方正仿宋_GBK" w:cs="方正仿宋_GBK"/>
                <w:b w:val="0"/>
                <w:bCs w:val="0"/>
                <w:color w:val="000000"/>
                <w:sz w:val="24"/>
                <w:lang w:bidi="ar"/>
              </w:rPr>
              <w:t xml:space="preserve">开展质量抽查回访，回访率达到100%的，得</w:t>
            </w:r>
            <w:r>
              <w:rPr>
                <w:rFonts w:hint="eastAsia" w:ascii="方正仿宋_GBK" w:hAnsi="方正仿宋_GBK" w:eastAsia="方正仿宋_GBK" w:cs="方正仿宋_GBK"/>
                <w:b w:val="0"/>
                <w:bCs w:val="0"/>
                <w:color w:val="000000"/>
                <w:sz w:val="24"/>
                <w:lang w:val="en-US" w:eastAsia="zh-CN" w:bidi="ar"/>
              </w:rPr>
              <w:t xml:space="preserve">2</w:t>
            </w:r>
            <w:r>
              <w:rPr>
                <w:rFonts w:hint="eastAsia" w:ascii="方正仿宋_GBK" w:hAnsi="方正仿宋_GBK" w:eastAsia="方正仿宋_GBK" w:cs="方正仿宋_GBK"/>
                <w:b w:val="0"/>
                <w:bCs w:val="0"/>
                <w:color w:val="000000"/>
                <w:sz w:val="24"/>
                <w:lang w:bidi="ar"/>
              </w:rPr>
              <w:t xml:space="preserve">分；90%（含）—100%的，得</w:t>
            </w:r>
            <w:r>
              <w:rPr>
                <w:rFonts w:hint="eastAsia" w:ascii="方正仿宋_GBK" w:hAnsi="方正仿宋_GBK" w:eastAsia="方正仿宋_GBK" w:cs="方正仿宋_GBK"/>
                <w:b w:val="0"/>
                <w:bCs w:val="0"/>
                <w:color w:val="000000"/>
                <w:sz w:val="24"/>
                <w:lang w:val="en-US" w:eastAsia="zh-CN" w:bidi="ar"/>
              </w:rPr>
              <w:t xml:space="preserve">1</w:t>
            </w:r>
            <w:r>
              <w:rPr>
                <w:rFonts w:hint="eastAsia" w:ascii="方正仿宋_GBK" w:hAnsi="方正仿宋_GBK" w:eastAsia="方正仿宋_GBK" w:cs="方正仿宋_GBK"/>
                <w:b w:val="0"/>
                <w:bCs w:val="0"/>
                <w:color w:val="000000"/>
                <w:sz w:val="24"/>
                <w:lang w:bidi="ar"/>
              </w:rPr>
              <w:t xml:space="preserve">分；低于</w:t>
            </w:r>
            <w:r>
              <w:rPr>
                <w:rFonts w:hint="eastAsia" w:ascii="方正仿宋_GBK" w:hAnsi="方正仿宋_GBK" w:eastAsia="方正仿宋_GBK" w:cs="方正仿宋_GBK"/>
                <w:b w:val="0"/>
                <w:bCs w:val="0"/>
                <w:color w:val="000000"/>
                <w:sz w:val="24"/>
                <w:lang w:val="en-US" w:eastAsia="zh-CN" w:bidi="ar"/>
              </w:rPr>
              <w:t xml:space="preserve">9</w:t>
            </w:r>
            <w:r>
              <w:rPr>
                <w:rFonts w:hint="eastAsia" w:ascii="方正仿宋_GBK" w:hAnsi="方正仿宋_GBK" w:eastAsia="方正仿宋_GBK" w:cs="方正仿宋_GBK"/>
                <w:b w:val="0"/>
                <w:bCs w:val="0"/>
                <w:color w:val="000000"/>
                <w:sz w:val="24"/>
                <w:lang w:bidi="ar"/>
              </w:rPr>
              <w:t xml:space="preserve">0%的</w:t>
            </w:r>
            <w:r>
              <w:rPr>
                <w:rFonts w:hint="eastAsia" w:ascii="方正仿宋_GBK" w:hAnsi="方正仿宋_GBK" w:eastAsia="方正仿宋_GBK" w:cs="方正仿宋_GBK"/>
                <w:b w:val="0"/>
                <w:bCs w:val="0"/>
                <w:color w:val="000000"/>
                <w:sz w:val="24"/>
                <w:lang w:eastAsia="zh-CN" w:bidi="ar"/>
              </w:rPr>
              <w:t xml:space="preserve">不得分</w:t>
            </w:r>
            <w:r>
              <w:rPr>
                <w:rFonts w:hint="eastAsia" w:ascii="方正仿宋_GBK" w:hAnsi="方正仿宋_GBK" w:eastAsia="方正仿宋_GBK" w:cs="方正仿宋_GBK"/>
                <w:b w:val="0"/>
                <w:bCs w:val="0"/>
                <w:color w:val="000000"/>
                <w:sz w:val="24"/>
                <w:lang w:bidi="ar"/>
              </w:rPr>
              <w:t xml:space="preserve">（</w:t>
            </w:r>
            <w:r>
              <w:rPr>
                <w:rFonts w:hint="eastAsia" w:ascii="方正仿宋_GBK" w:hAnsi="方正仿宋_GBK" w:eastAsia="方正仿宋_GBK" w:cs="方正仿宋_GBK"/>
                <w:b w:val="0"/>
                <w:bCs w:val="0"/>
                <w:color w:val="000000"/>
                <w:sz w:val="24"/>
                <w:lang w:val="en-US" w:eastAsia="zh-CN" w:bidi="ar"/>
              </w:rPr>
              <w:t xml:space="preserve">2</w:t>
            </w:r>
            <w:r>
              <w:rPr>
                <w:rFonts w:hint="eastAsia" w:ascii="方正仿宋_GBK" w:hAnsi="方正仿宋_GBK" w:eastAsia="方正仿宋_GBK" w:cs="方正仿宋_GBK"/>
                <w:b w:val="0"/>
                <w:bCs w:val="0"/>
                <w:color w:val="000000"/>
                <w:sz w:val="24"/>
                <w:lang w:bidi="ar"/>
              </w:rPr>
              <w:t xml:space="preserve">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740"/>
        </w:trPr>
        <w:tc>
          <w:tcPr>
            <w:tcW w:w="273" w:type="pct"/>
            <w:vAlign w:val="center"/>
            <w:textDirection w:val="lrTb"/>
            <w:noWrap w:val="false"/>
          </w:tcPr>
          <w:p>
            <w:pPr>
              <w:jc w:val="center"/>
              <w:spacing w:line="360" w:lineRule="exact"/>
              <w:widowControl/>
              <w:rPr>
                <w:rFonts w:hint="default" w:ascii="方正仿宋_GBK" w:hAnsi="方正仿宋_GBK" w:eastAsia="方正仿宋_GBK" w:cs="方正仿宋_GBK"/>
                <w:b w:val="0"/>
                <w:bCs w:val="0"/>
                <w:color w:val="000000"/>
                <w:sz w:val="24"/>
                <w:lang w:val="en-US" w:eastAsia="zh-CN" w:bidi="ar"/>
              </w:rPr>
            </w:pPr>
            <w:r>
              <w:rPr>
                <w:rFonts w:hint="eastAsia" w:ascii="方正仿宋_GBK" w:hAnsi="方正仿宋_GBK" w:eastAsia="方正仿宋_GBK" w:cs="方正仿宋_GBK"/>
                <w:b w:val="0"/>
                <w:bCs w:val="0"/>
                <w:color w:val="000000"/>
                <w:sz w:val="24"/>
                <w:lang w:val="en-US" w:eastAsia="zh-CN" w:bidi="ar"/>
              </w:rPr>
              <w:t xml:space="preserve">13</w:t>
            </w:r>
            <w:r/>
          </w:p>
        </w:tc>
        <w:tc>
          <w:tcPr>
            <w:tcW w:w="46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30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val="en-US" w:eastAsia="zh-CN" w:bidi="ar"/>
              </w:rPr>
            </w:pPr>
            <w:r>
              <w:rPr>
                <w:rFonts w:hint="eastAsia" w:ascii="方正仿宋_GBK" w:hAnsi="方正仿宋_GBK" w:eastAsia="方正仿宋_GBK" w:cs="方正仿宋_GBK"/>
                <w:b w:val="0"/>
                <w:bCs w:val="0"/>
                <w:color w:val="000000"/>
                <w:sz w:val="24"/>
                <w:lang w:val="en-US" w:eastAsia="zh-CN" w:bidi="ar"/>
              </w:rPr>
              <w:t xml:space="preserve">2</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val="en-US" w:eastAsia="zh-CN" w:bidi="ar"/>
              </w:rPr>
            </w:pPr>
            <w:r>
              <w:rPr>
                <w:rFonts w:hint="eastAsia" w:ascii="方正仿宋_GBK" w:hAnsi="方正仿宋_GBK" w:eastAsia="方正仿宋_GBK" w:cs="方正仿宋_GBK"/>
                <w:b w:val="0"/>
                <w:bCs w:val="0"/>
                <w:color w:val="000000"/>
                <w:sz w:val="24"/>
                <w:highlight w:val="none"/>
                <w:lang w:eastAsia="zh-CN" w:bidi="ar"/>
              </w:rPr>
              <w:t xml:space="preserve">老年人对</w:t>
            </w:r>
            <w:r>
              <w:rPr>
                <w:rFonts w:hint="eastAsia" w:ascii="方正仿宋_GBK" w:hAnsi="方正仿宋_GBK" w:eastAsia="方正仿宋_GBK" w:cs="方正仿宋_GBK"/>
                <w:b w:val="0"/>
                <w:bCs w:val="0"/>
                <w:color w:val="000000"/>
                <w:sz w:val="24"/>
                <w:highlight w:val="none"/>
              </w:rPr>
              <w:t xml:space="preserve">家庭养老床位建设</w:t>
            </w:r>
            <w:r>
              <w:rPr>
                <w:rFonts w:hint="eastAsia" w:ascii="方正仿宋_GBK" w:hAnsi="方正仿宋_GBK" w:eastAsia="方正仿宋_GBK" w:cs="方正仿宋_GBK"/>
                <w:b w:val="0"/>
                <w:bCs w:val="0"/>
                <w:color w:val="000000"/>
                <w:sz w:val="24"/>
                <w:highlight w:val="none"/>
                <w:lang w:eastAsia="zh-CN"/>
              </w:rPr>
              <w:t xml:space="preserve">情况满意度达到</w:t>
            </w:r>
            <w:r>
              <w:rPr>
                <w:rFonts w:hint="eastAsia" w:ascii="方正仿宋_GBK" w:hAnsi="方正仿宋_GBK" w:eastAsia="方正仿宋_GBK" w:cs="方正仿宋_GBK"/>
                <w:b w:val="0"/>
                <w:bCs w:val="0"/>
                <w:color w:val="000000"/>
                <w:sz w:val="24"/>
                <w:highlight w:val="none"/>
                <w:lang w:val="en-US" w:eastAsia="zh-CN"/>
              </w:rPr>
              <w:t xml:space="preserve">95%及以上的，得2分；</w:t>
            </w:r>
            <w:r>
              <w:rPr>
                <w:rFonts w:hint="eastAsia" w:ascii="方正仿宋_GBK" w:hAnsi="方正仿宋_GBK" w:eastAsia="方正仿宋_GBK" w:cs="方正仿宋_GBK"/>
                <w:b w:val="0"/>
                <w:bCs w:val="0"/>
                <w:color w:val="000000"/>
                <w:sz w:val="24"/>
                <w:highlight w:val="none"/>
                <w:lang w:bidi="ar"/>
              </w:rPr>
              <w:t xml:space="preserve">90%（含）—</w:t>
            </w:r>
            <w:r>
              <w:rPr>
                <w:rFonts w:hint="eastAsia" w:ascii="方正仿宋_GBK" w:hAnsi="方正仿宋_GBK" w:eastAsia="方正仿宋_GBK" w:cs="方正仿宋_GBK"/>
                <w:b w:val="0"/>
                <w:bCs w:val="0"/>
                <w:color w:val="000000"/>
                <w:sz w:val="24"/>
                <w:highlight w:val="none"/>
                <w:lang w:val="en-US" w:eastAsia="zh-CN" w:bidi="ar"/>
              </w:rPr>
              <w:t xml:space="preserve">95</w:t>
            </w:r>
            <w:r>
              <w:rPr>
                <w:rFonts w:hint="eastAsia" w:ascii="方正仿宋_GBK" w:hAnsi="方正仿宋_GBK" w:eastAsia="方正仿宋_GBK" w:cs="方正仿宋_GBK"/>
                <w:b w:val="0"/>
                <w:bCs w:val="0"/>
                <w:color w:val="000000"/>
                <w:sz w:val="24"/>
                <w:highlight w:val="none"/>
                <w:lang w:bidi="ar"/>
              </w:rPr>
              <w:t xml:space="preserve">%的，得</w:t>
            </w:r>
            <w:r>
              <w:rPr>
                <w:rFonts w:hint="eastAsia" w:ascii="方正仿宋_GBK" w:hAnsi="方正仿宋_GBK" w:eastAsia="方正仿宋_GBK" w:cs="方正仿宋_GBK"/>
                <w:b w:val="0"/>
                <w:bCs w:val="0"/>
                <w:color w:val="000000"/>
                <w:sz w:val="24"/>
                <w:highlight w:val="none"/>
                <w:lang w:val="en-US" w:eastAsia="zh-CN" w:bidi="ar"/>
              </w:rPr>
              <w:t xml:space="preserve">1</w:t>
            </w:r>
            <w:r>
              <w:rPr>
                <w:rFonts w:hint="eastAsia" w:ascii="方正仿宋_GBK" w:hAnsi="方正仿宋_GBK" w:eastAsia="方正仿宋_GBK" w:cs="方正仿宋_GBK"/>
                <w:b w:val="0"/>
                <w:bCs w:val="0"/>
                <w:color w:val="000000"/>
                <w:sz w:val="24"/>
                <w:highlight w:val="none"/>
                <w:lang w:bidi="ar"/>
              </w:rPr>
              <w:t xml:space="preserve">分；</w:t>
            </w:r>
            <w:r>
              <w:rPr>
                <w:rFonts w:hint="eastAsia" w:ascii="方正仿宋_GBK" w:hAnsi="方正仿宋_GBK" w:eastAsia="方正仿宋_GBK" w:cs="方正仿宋_GBK"/>
                <w:b w:val="0"/>
                <w:bCs w:val="0"/>
                <w:color w:val="000000"/>
                <w:sz w:val="24"/>
                <w:highlight w:val="none"/>
                <w:lang w:val="en-US" w:eastAsia="zh-CN"/>
              </w:rPr>
              <w:t xml:space="preserve">低于90%的不得分</w:t>
            </w:r>
            <w:r>
              <w:rPr>
                <w:rFonts w:hint="eastAsia" w:ascii="方正仿宋_GBK" w:hAnsi="方正仿宋_GBK" w:eastAsia="方正仿宋_GBK" w:cs="方正仿宋_GBK"/>
                <w:b w:val="0"/>
                <w:bCs w:val="0"/>
                <w:color w:val="000000"/>
                <w:sz w:val="24"/>
                <w:lang w:bidi="ar"/>
              </w:rPr>
              <w:t xml:space="preserve">（</w:t>
            </w:r>
            <w:r>
              <w:rPr>
                <w:rFonts w:hint="eastAsia" w:ascii="方正仿宋_GBK" w:hAnsi="方正仿宋_GBK" w:eastAsia="方正仿宋_GBK" w:cs="方正仿宋_GBK"/>
                <w:b w:val="0"/>
                <w:bCs w:val="0"/>
                <w:color w:val="000000"/>
                <w:sz w:val="24"/>
                <w:lang w:val="en-US" w:eastAsia="zh-CN" w:bidi="ar"/>
              </w:rPr>
              <w:t xml:space="preserve">2</w:t>
            </w:r>
            <w:r>
              <w:rPr>
                <w:rFonts w:hint="eastAsia" w:ascii="方正仿宋_GBK" w:hAnsi="方正仿宋_GBK" w:eastAsia="方正仿宋_GBK" w:cs="方正仿宋_GBK"/>
                <w:b w:val="0"/>
                <w:bCs w:val="0"/>
                <w:color w:val="000000"/>
                <w:sz w:val="24"/>
                <w:lang w:bidi="ar"/>
              </w:rPr>
              <w:t xml:space="preserve">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740"/>
        </w:trPr>
        <w:tc>
          <w:tcPr>
            <w:tcW w:w="27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1</w:t>
            </w:r>
            <w:r>
              <w:rPr>
                <w:rFonts w:hint="eastAsia" w:ascii="方正仿宋_GBK" w:hAnsi="方正仿宋_GBK" w:eastAsia="方正仿宋_GBK" w:cs="方正仿宋_GBK"/>
                <w:b w:val="0"/>
                <w:bCs w:val="0"/>
                <w:color w:val="000000"/>
                <w:sz w:val="24"/>
                <w:lang w:val="en-US" w:eastAsia="zh-CN" w:bidi="ar"/>
              </w:rPr>
              <w:t xml:space="preserve">4</w:t>
            </w:r>
            <w:r/>
          </w:p>
        </w:tc>
        <w:tc>
          <w:tcPr>
            <w:tcW w:w="463" w:type="pct"/>
            <w:vAlign w:val="center"/>
            <w:vMerge w:val="continue"/>
            <w:textDirection w:val="lrTb"/>
            <w:noWrap w:val="false"/>
          </w:tcPr>
          <w:p>
            <w:pP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303" w:type="pct"/>
            <w:vAlign w:val="center"/>
            <w:vMerge w:val="continue"/>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4</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在项目资金使用完毕后，对服务对象持续享受家庭养老床位作出政策安排（4分）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740"/>
        </w:trPr>
        <w:tc>
          <w:tcPr>
            <w:tcW w:w="27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1</w:t>
            </w:r>
            <w:r>
              <w:rPr>
                <w:rFonts w:hint="eastAsia" w:ascii="方正仿宋_GBK" w:hAnsi="方正仿宋_GBK" w:eastAsia="方正仿宋_GBK" w:cs="方正仿宋_GBK"/>
                <w:b w:val="0"/>
                <w:bCs w:val="0"/>
                <w:color w:val="000000"/>
                <w:sz w:val="24"/>
                <w:lang w:val="en-US" w:eastAsia="zh-CN" w:bidi="ar"/>
              </w:rPr>
              <w:t xml:space="preserve">5</w:t>
            </w:r>
            <w:r/>
          </w:p>
        </w:tc>
        <w:tc>
          <w:tcPr>
            <w:tcW w:w="463" w:type="pct"/>
            <w:vAlign w:val="center"/>
            <w:vMerge w:val="restart"/>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居家养老上门服务完成情况</w:t>
            </w:r>
            <w:r/>
          </w:p>
        </w:tc>
        <w:tc>
          <w:tcPr>
            <w:tcW w:w="303" w:type="pct"/>
            <w:vAlign w:val="center"/>
            <w:vMerge w:val="restart"/>
            <w:textDirection w:val="lrTb"/>
            <w:noWrap w:val="false"/>
          </w:tcPr>
          <w:p>
            <w:pPr>
              <w:jc w:val="center"/>
              <w:spacing w:line="360" w:lineRule="exact"/>
              <w:widowControl/>
              <w:rPr>
                <w:rFonts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t xml:space="preserve">26</w:t>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r>
            <w:r/>
          </w:p>
          <w:p>
            <w:pPr>
              <w:jc w:val="center"/>
              <w:spacing w:line="360" w:lineRule="exact"/>
              <w:widowControl/>
              <w:rPr>
                <w:rFonts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18</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highlight w:val="none"/>
                <w:lang w:bidi="ar"/>
              </w:rPr>
              <w:t xml:space="preserve">任务完成率=为项目对象提供上门服务人次数/绩效目标任务量</w:t>
            </w:r>
            <w:r>
              <w:rPr>
                <w:rFonts w:hint="eastAsia" w:ascii="方正仿宋_GBK" w:hAnsi="方正仿宋_GBK" w:eastAsia="方正仿宋_GBK" w:cs="方正仿宋_GBK"/>
                <w:b w:val="0"/>
                <w:bCs w:val="0"/>
                <w:color w:val="000000"/>
                <w:sz w:val="24"/>
                <w:highlight w:val="none"/>
                <w:lang w:eastAsia="zh-CN" w:bidi="ar"/>
              </w:rPr>
              <w:t xml:space="preserve">，</w:t>
            </w:r>
            <w:r>
              <w:rPr>
                <w:rFonts w:hint="eastAsia" w:ascii="方正仿宋_GBK" w:hAnsi="方正仿宋_GBK" w:eastAsia="方正仿宋_GBK" w:cs="方正仿宋_GBK"/>
                <w:b w:val="0"/>
                <w:bCs w:val="0"/>
                <w:color w:val="000000"/>
                <w:sz w:val="24"/>
                <w:highlight w:val="none"/>
                <w:lang w:bidi="ar"/>
              </w:rPr>
              <w:t xml:space="preserve">按完成率*15分计算得出应得分值。超额完成10%以内的，加1分；超额完成10%（含）—20%，加2分；超额完成20%（含）及以上的，加3分（本项最高18分）</w:t>
            </w:r>
            <w:r>
              <w:rPr>
                <w:rFonts w:hint="eastAsia" w:ascii="方正仿宋_GBK" w:hAnsi="方正仿宋_GBK" w:eastAsia="方正仿宋_GBK" w:cs="方正仿宋_GBK"/>
                <w:b w:val="0"/>
                <w:bCs w:val="0"/>
                <w:color w:val="000000"/>
                <w:sz w:val="24"/>
                <w:highlight w:val="none"/>
                <w:lang w:eastAsia="zh-CN" w:bidi="ar"/>
              </w:rPr>
              <w:t xml:space="preserve">。</w:t>
            </w:r>
            <w:r/>
          </w:p>
        </w:tc>
      </w:tr>
      <w:tr>
        <w:trPr>
          <w:jc w:val="center"/>
          <w:trHeight w:val="740"/>
        </w:trPr>
        <w:tc>
          <w:tcPr>
            <w:tcW w:w="27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1</w:t>
            </w:r>
            <w:r>
              <w:rPr>
                <w:rFonts w:hint="eastAsia" w:ascii="方正仿宋_GBK" w:hAnsi="方正仿宋_GBK" w:eastAsia="方正仿宋_GBK" w:cs="方正仿宋_GBK"/>
                <w:b w:val="0"/>
                <w:bCs w:val="0"/>
                <w:color w:val="000000"/>
                <w:sz w:val="24"/>
                <w:lang w:val="en-US" w:eastAsia="zh-CN" w:bidi="ar"/>
              </w:rPr>
              <w:t xml:space="preserve">6</w:t>
            </w:r>
            <w:r/>
          </w:p>
        </w:tc>
        <w:tc>
          <w:tcPr>
            <w:tcW w:w="46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30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val="en-US" w:eastAsia="zh-CN" w:bidi="ar"/>
              </w:rPr>
              <w:t xml:space="preserve">2</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对上门服务开展质量抽查回访，回访率达到100%的，得</w:t>
            </w:r>
            <w:r>
              <w:rPr>
                <w:rFonts w:hint="eastAsia" w:ascii="方正仿宋_GBK" w:hAnsi="方正仿宋_GBK" w:eastAsia="方正仿宋_GBK" w:cs="方正仿宋_GBK"/>
                <w:b w:val="0"/>
                <w:bCs w:val="0"/>
                <w:color w:val="000000"/>
                <w:sz w:val="24"/>
                <w:lang w:val="en-US" w:eastAsia="zh-CN" w:bidi="ar"/>
              </w:rPr>
              <w:t xml:space="preserve">2</w:t>
            </w:r>
            <w:r>
              <w:rPr>
                <w:rFonts w:hint="eastAsia" w:ascii="方正仿宋_GBK" w:hAnsi="方正仿宋_GBK" w:eastAsia="方正仿宋_GBK" w:cs="方正仿宋_GBK"/>
                <w:b w:val="0"/>
                <w:bCs w:val="0"/>
                <w:color w:val="000000"/>
                <w:sz w:val="24"/>
                <w:lang w:bidi="ar"/>
              </w:rPr>
              <w:t xml:space="preserve">分；90%（含）—100%的，得</w:t>
            </w:r>
            <w:r>
              <w:rPr>
                <w:rFonts w:hint="eastAsia" w:ascii="方正仿宋_GBK" w:hAnsi="方正仿宋_GBK" w:eastAsia="方正仿宋_GBK" w:cs="方正仿宋_GBK"/>
                <w:b w:val="0"/>
                <w:bCs w:val="0"/>
                <w:color w:val="000000"/>
                <w:sz w:val="24"/>
                <w:lang w:val="en-US" w:eastAsia="zh-CN" w:bidi="ar"/>
              </w:rPr>
              <w:t xml:space="preserve">1</w:t>
            </w:r>
            <w:r>
              <w:rPr>
                <w:rFonts w:hint="eastAsia" w:ascii="方正仿宋_GBK" w:hAnsi="方正仿宋_GBK" w:eastAsia="方正仿宋_GBK" w:cs="方正仿宋_GBK"/>
                <w:b w:val="0"/>
                <w:bCs w:val="0"/>
                <w:color w:val="000000"/>
                <w:sz w:val="24"/>
                <w:lang w:bidi="ar"/>
              </w:rPr>
              <w:t xml:space="preserve">分；低于</w:t>
            </w:r>
            <w:r>
              <w:rPr>
                <w:rFonts w:hint="eastAsia" w:ascii="方正仿宋_GBK" w:hAnsi="方正仿宋_GBK" w:eastAsia="方正仿宋_GBK" w:cs="方正仿宋_GBK"/>
                <w:b w:val="0"/>
                <w:bCs w:val="0"/>
                <w:color w:val="000000"/>
                <w:sz w:val="24"/>
                <w:lang w:val="en-US" w:eastAsia="zh-CN" w:bidi="ar"/>
              </w:rPr>
              <w:t xml:space="preserve">9</w:t>
            </w:r>
            <w:r>
              <w:rPr>
                <w:rFonts w:hint="eastAsia" w:ascii="方正仿宋_GBK" w:hAnsi="方正仿宋_GBK" w:eastAsia="方正仿宋_GBK" w:cs="方正仿宋_GBK"/>
                <w:b w:val="0"/>
                <w:bCs w:val="0"/>
                <w:color w:val="000000"/>
                <w:sz w:val="24"/>
                <w:lang w:bidi="ar"/>
              </w:rPr>
              <w:t xml:space="preserve">0%的</w:t>
            </w:r>
            <w:r>
              <w:rPr>
                <w:rFonts w:hint="eastAsia" w:ascii="方正仿宋_GBK" w:hAnsi="方正仿宋_GBK" w:eastAsia="方正仿宋_GBK" w:cs="方正仿宋_GBK"/>
                <w:b w:val="0"/>
                <w:bCs w:val="0"/>
                <w:color w:val="000000"/>
                <w:sz w:val="24"/>
                <w:lang w:eastAsia="zh-CN" w:bidi="ar"/>
              </w:rPr>
              <w:t xml:space="preserve">不得分</w:t>
            </w:r>
            <w:r>
              <w:rPr>
                <w:rFonts w:hint="eastAsia" w:ascii="方正仿宋_GBK" w:hAnsi="方正仿宋_GBK" w:eastAsia="方正仿宋_GBK" w:cs="方正仿宋_GBK"/>
                <w:b w:val="0"/>
                <w:bCs w:val="0"/>
                <w:color w:val="000000"/>
                <w:sz w:val="24"/>
                <w:lang w:bidi="ar"/>
              </w:rPr>
              <w:t xml:space="preserve">（</w:t>
            </w:r>
            <w:r>
              <w:rPr>
                <w:rFonts w:hint="eastAsia" w:ascii="方正仿宋_GBK" w:hAnsi="方正仿宋_GBK" w:eastAsia="方正仿宋_GBK" w:cs="方正仿宋_GBK"/>
                <w:b w:val="0"/>
                <w:bCs w:val="0"/>
                <w:color w:val="000000"/>
                <w:sz w:val="24"/>
                <w:lang w:val="en-US" w:eastAsia="zh-CN" w:bidi="ar"/>
              </w:rPr>
              <w:t xml:space="preserve">2</w:t>
            </w:r>
            <w:r>
              <w:rPr>
                <w:rFonts w:hint="eastAsia" w:ascii="方正仿宋_GBK" w:hAnsi="方正仿宋_GBK" w:eastAsia="方正仿宋_GBK" w:cs="方正仿宋_GBK"/>
                <w:b w:val="0"/>
                <w:bCs w:val="0"/>
                <w:color w:val="000000"/>
                <w:sz w:val="24"/>
                <w:lang w:bidi="ar"/>
              </w:rPr>
              <w:t xml:space="preserve">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740"/>
        </w:trPr>
        <w:tc>
          <w:tcPr>
            <w:tcW w:w="273" w:type="pct"/>
            <w:vAlign w:val="center"/>
            <w:textDirection w:val="lrTb"/>
            <w:noWrap w:val="false"/>
          </w:tcPr>
          <w:p>
            <w:pPr>
              <w:jc w:val="center"/>
              <w:spacing w:line="360" w:lineRule="exact"/>
              <w:widowControl/>
              <w:rPr>
                <w:rFonts w:hint="default" w:ascii="方正仿宋_GBK" w:hAnsi="方正仿宋_GBK" w:eastAsia="方正仿宋_GBK" w:cs="方正仿宋_GBK"/>
                <w:b w:val="0"/>
                <w:bCs w:val="0"/>
                <w:color w:val="000000"/>
                <w:sz w:val="24"/>
                <w:lang w:val="en-US" w:eastAsia="zh-CN" w:bidi="ar"/>
              </w:rPr>
            </w:pPr>
            <w:r>
              <w:rPr>
                <w:rFonts w:hint="eastAsia" w:ascii="方正仿宋_GBK" w:hAnsi="方正仿宋_GBK" w:eastAsia="方正仿宋_GBK" w:cs="方正仿宋_GBK"/>
                <w:b w:val="0"/>
                <w:bCs w:val="0"/>
                <w:color w:val="000000"/>
                <w:sz w:val="24"/>
                <w:lang w:val="en-US" w:eastAsia="zh-CN" w:bidi="ar"/>
              </w:rPr>
              <w:t xml:space="preserve">17</w:t>
            </w:r>
            <w:r/>
          </w:p>
        </w:tc>
        <w:tc>
          <w:tcPr>
            <w:tcW w:w="46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30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val="en-US" w:eastAsia="zh-CN" w:bidi="ar"/>
              </w:rPr>
            </w:pPr>
            <w:r>
              <w:rPr>
                <w:rFonts w:hint="eastAsia" w:ascii="方正仿宋_GBK" w:hAnsi="方正仿宋_GBK" w:eastAsia="方正仿宋_GBK" w:cs="方正仿宋_GBK"/>
                <w:b w:val="0"/>
                <w:bCs w:val="0"/>
                <w:color w:val="000000"/>
                <w:sz w:val="24"/>
                <w:lang w:val="en-US" w:eastAsia="zh-CN" w:bidi="ar"/>
              </w:rPr>
              <w:t xml:space="preserve">2</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highlight w:val="none"/>
                <w:lang w:eastAsia="zh-CN" w:bidi="ar"/>
              </w:rPr>
              <w:t xml:space="preserve">老年人对</w:t>
            </w:r>
            <w:r>
              <w:rPr>
                <w:rFonts w:hint="eastAsia" w:ascii="方正仿宋_GBK" w:hAnsi="方正仿宋_GBK" w:eastAsia="方正仿宋_GBK" w:cs="方正仿宋_GBK"/>
                <w:b w:val="0"/>
                <w:bCs w:val="0"/>
                <w:color w:val="000000"/>
                <w:sz w:val="24"/>
                <w:highlight w:val="none"/>
                <w:lang w:eastAsia="zh-CN"/>
              </w:rPr>
              <w:t xml:space="preserve">居家养老上门服务情况满意度达到</w:t>
            </w:r>
            <w:r>
              <w:rPr>
                <w:rFonts w:hint="eastAsia" w:ascii="方正仿宋_GBK" w:hAnsi="方正仿宋_GBK" w:eastAsia="方正仿宋_GBK" w:cs="方正仿宋_GBK"/>
                <w:b w:val="0"/>
                <w:bCs w:val="0"/>
                <w:color w:val="000000"/>
                <w:sz w:val="24"/>
                <w:highlight w:val="none"/>
                <w:lang w:val="en-US" w:eastAsia="zh-CN"/>
              </w:rPr>
              <w:t xml:space="preserve">95%及以上的，得2分；</w:t>
            </w:r>
            <w:r>
              <w:rPr>
                <w:rFonts w:hint="eastAsia" w:ascii="方正仿宋_GBK" w:hAnsi="方正仿宋_GBK" w:eastAsia="方正仿宋_GBK" w:cs="方正仿宋_GBK"/>
                <w:b w:val="0"/>
                <w:bCs w:val="0"/>
                <w:color w:val="000000"/>
                <w:sz w:val="24"/>
                <w:highlight w:val="none"/>
                <w:lang w:bidi="ar"/>
              </w:rPr>
              <w:t xml:space="preserve">90%（含）—</w:t>
            </w:r>
            <w:r>
              <w:rPr>
                <w:rFonts w:hint="eastAsia" w:ascii="方正仿宋_GBK" w:hAnsi="方正仿宋_GBK" w:eastAsia="方正仿宋_GBK" w:cs="方正仿宋_GBK"/>
                <w:b w:val="0"/>
                <w:bCs w:val="0"/>
                <w:color w:val="000000"/>
                <w:sz w:val="24"/>
                <w:highlight w:val="none"/>
                <w:lang w:val="en-US" w:eastAsia="zh-CN" w:bidi="ar"/>
              </w:rPr>
              <w:t xml:space="preserve">95</w:t>
            </w:r>
            <w:r>
              <w:rPr>
                <w:rFonts w:hint="eastAsia" w:ascii="方正仿宋_GBK" w:hAnsi="方正仿宋_GBK" w:eastAsia="方正仿宋_GBK" w:cs="方正仿宋_GBK"/>
                <w:b w:val="0"/>
                <w:bCs w:val="0"/>
                <w:color w:val="000000"/>
                <w:sz w:val="24"/>
                <w:highlight w:val="none"/>
                <w:lang w:bidi="ar"/>
              </w:rPr>
              <w:t xml:space="preserve">%的，得</w:t>
            </w:r>
            <w:r>
              <w:rPr>
                <w:rFonts w:hint="eastAsia" w:ascii="方正仿宋_GBK" w:hAnsi="方正仿宋_GBK" w:eastAsia="方正仿宋_GBK" w:cs="方正仿宋_GBK"/>
                <w:b w:val="0"/>
                <w:bCs w:val="0"/>
                <w:color w:val="000000"/>
                <w:sz w:val="24"/>
                <w:highlight w:val="none"/>
                <w:lang w:val="en-US" w:eastAsia="zh-CN" w:bidi="ar"/>
              </w:rPr>
              <w:t xml:space="preserve">1</w:t>
            </w:r>
            <w:r>
              <w:rPr>
                <w:rFonts w:hint="eastAsia" w:ascii="方正仿宋_GBK" w:hAnsi="方正仿宋_GBK" w:eastAsia="方正仿宋_GBK" w:cs="方正仿宋_GBK"/>
                <w:b w:val="0"/>
                <w:bCs w:val="0"/>
                <w:color w:val="000000"/>
                <w:sz w:val="24"/>
                <w:highlight w:val="none"/>
                <w:lang w:bidi="ar"/>
              </w:rPr>
              <w:t xml:space="preserve">分；</w:t>
            </w:r>
            <w:r>
              <w:rPr>
                <w:rFonts w:hint="eastAsia" w:ascii="方正仿宋_GBK" w:hAnsi="方正仿宋_GBK" w:eastAsia="方正仿宋_GBK" w:cs="方正仿宋_GBK"/>
                <w:b w:val="0"/>
                <w:bCs w:val="0"/>
                <w:color w:val="000000"/>
                <w:sz w:val="24"/>
                <w:highlight w:val="none"/>
                <w:lang w:val="en-US" w:eastAsia="zh-CN"/>
              </w:rPr>
              <w:t xml:space="preserve">低于90%的不得分</w:t>
            </w:r>
            <w:r>
              <w:rPr>
                <w:rFonts w:hint="eastAsia" w:ascii="方正仿宋_GBK" w:hAnsi="方正仿宋_GBK" w:eastAsia="方正仿宋_GBK" w:cs="方正仿宋_GBK"/>
                <w:b w:val="0"/>
                <w:bCs w:val="0"/>
                <w:color w:val="000000"/>
                <w:sz w:val="24"/>
                <w:lang w:bidi="ar"/>
              </w:rPr>
              <w:t xml:space="preserve">（</w:t>
            </w:r>
            <w:r>
              <w:rPr>
                <w:rFonts w:hint="eastAsia" w:ascii="方正仿宋_GBK" w:hAnsi="方正仿宋_GBK" w:eastAsia="方正仿宋_GBK" w:cs="方正仿宋_GBK"/>
                <w:b w:val="0"/>
                <w:bCs w:val="0"/>
                <w:color w:val="000000"/>
                <w:sz w:val="24"/>
                <w:lang w:val="en-US" w:eastAsia="zh-CN" w:bidi="ar"/>
              </w:rPr>
              <w:t xml:space="preserve">2</w:t>
            </w:r>
            <w:r>
              <w:rPr>
                <w:rFonts w:hint="eastAsia" w:ascii="方正仿宋_GBK" w:hAnsi="方正仿宋_GBK" w:eastAsia="方正仿宋_GBK" w:cs="方正仿宋_GBK"/>
                <w:b w:val="0"/>
                <w:bCs w:val="0"/>
                <w:color w:val="000000"/>
                <w:sz w:val="24"/>
                <w:lang w:bidi="ar"/>
              </w:rPr>
              <w:t xml:space="preserve">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420"/>
        </w:trPr>
        <w:tc>
          <w:tcPr>
            <w:tcW w:w="27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1</w:t>
            </w:r>
            <w:r>
              <w:rPr>
                <w:rFonts w:hint="eastAsia" w:ascii="方正仿宋_GBK" w:hAnsi="方正仿宋_GBK" w:eastAsia="方正仿宋_GBK" w:cs="方正仿宋_GBK"/>
                <w:b w:val="0"/>
                <w:bCs w:val="0"/>
                <w:color w:val="000000"/>
                <w:sz w:val="24"/>
                <w:lang w:val="en-US" w:eastAsia="zh-CN" w:bidi="ar"/>
              </w:rPr>
              <w:t xml:space="preserve">8</w:t>
            </w:r>
            <w:r/>
          </w:p>
        </w:tc>
        <w:tc>
          <w:tcPr>
            <w:tcW w:w="46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30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4</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在项目资金使用完毕后，对服务对象持续享受居家养老上门服务作出政策安排（4分）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740"/>
        </w:trPr>
        <w:tc>
          <w:tcPr>
            <w:tcW w:w="273" w:type="pct"/>
            <w:vAlign w:val="center"/>
            <w:textDirection w:val="lrTb"/>
            <w:noWrap w:val="false"/>
          </w:tcPr>
          <w:p>
            <w:pPr>
              <w:jc w:val="center"/>
              <w:spacing w:line="360" w:lineRule="exact"/>
              <w:widowControl/>
              <w:rPr>
                <w:rFonts w:hint="default" w:ascii="方正仿宋_GBK" w:hAnsi="方正仿宋_GBK" w:eastAsia="方正仿宋_GBK" w:cs="方正仿宋_GBK"/>
                <w:b w:val="0"/>
                <w:bCs w:val="0"/>
                <w:color w:val="000000"/>
                <w:sz w:val="24"/>
                <w:lang w:val="en-US" w:eastAsia="zh-CN" w:bidi="ar"/>
              </w:rPr>
            </w:pPr>
            <w:r>
              <w:rPr>
                <w:rFonts w:hint="eastAsia" w:ascii="方正仿宋_GBK" w:hAnsi="方正仿宋_GBK" w:eastAsia="方正仿宋_GBK" w:cs="方正仿宋_GBK"/>
                <w:b w:val="0"/>
                <w:bCs w:val="0"/>
                <w:color w:val="000000"/>
                <w:sz w:val="24"/>
                <w:lang w:val="en-US" w:eastAsia="zh-CN" w:bidi="ar"/>
              </w:rPr>
              <w:t xml:space="preserve">19</w:t>
            </w:r>
            <w:r/>
          </w:p>
        </w:tc>
        <w:tc>
          <w:tcPr>
            <w:tcW w:w="463" w:type="pct"/>
            <w:vAlign w:val="center"/>
            <w:vMerge w:val="restart"/>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配套支持</w:t>
            </w:r>
            <w:r/>
          </w:p>
          <w:p>
            <w:pPr>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lang w:bidi="ar"/>
              </w:rPr>
              <w:t xml:space="preserve">保障情况</w:t>
            </w:r>
            <w:r/>
          </w:p>
        </w:tc>
        <w:tc>
          <w:tcPr>
            <w:tcW w:w="303" w:type="pct"/>
            <w:vAlign w:val="center"/>
            <w:vMerge w:val="restart"/>
            <w:textDirection w:val="lrTb"/>
            <w:noWrap w:val="false"/>
          </w:tcPr>
          <w:p>
            <w:pPr>
              <w:jc w:val="center"/>
              <w:spacing w:line="360" w:lineRule="exact"/>
              <w:widowControl/>
              <w:rPr>
                <w:rFonts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t xml:space="preserve">10</w:t>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3</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制定本地区基本养老服务清单并将家庭养老床位建设、居家养老上门服务有关内容纳入清单（3分）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620"/>
        </w:trPr>
        <w:tc>
          <w:tcPr>
            <w:tcW w:w="273" w:type="pct"/>
            <w:vAlign w:val="center"/>
            <w:textDirection w:val="lrTb"/>
            <w:noWrap w:val="false"/>
          </w:tcPr>
          <w:p>
            <w:pPr>
              <w:jc w:val="center"/>
              <w:spacing w:line="360" w:lineRule="exact"/>
              <w:widowControl/>
              <w:rPr>
                <w:rFonts w:hint="default" w:ascii="方正仿宋_GBK" w:hAnsi="方正仿宋_GBK" w:eastAsia="方正仿宋_GBK" w:cs="方正仿宋_GBK"/>
                <w:b w:val="0"/>
                <w:bCs w:val="0"/>
                <w:color w:val="000000"/>
                <w:sz w:val="24"/>
                <w:lang w:val="en-US" w:eastAsia="zh-CN" w:bidi="ar"/>
              </w:rPr>
            </w:pPr>
            <w:r>
              <w:rPr>
                <w:rFonts w:hint="eastAsia" w:ascii="方正仿宋_GBK" w:hAnsi="方正仿宋_GBK" w:eastAsia="方正仿宋_GBK" w:cs="方正仿宋_GBK"/>
                <w:b w:val="0"/>
                <w:bCs w:val="0"/>
                <w:color w:val="000000"/>
                <w:sz w:val="24"/>
                <w:lang w:val="en-US" w:eastAsia="zh-CN" w:bidi="ar"/>
              </w:rPr>
              <w:t xml:space="preserve">20</w:t>
            </w:r>
            <w:r/>
          </w:p>
        </w:tc>
        <w:tc>
          <w:tcPr>
            <w:tcW w:w="46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30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265" w:type="pct"/>
            <w:vAlign w:val="center"/>
            <w:textDirection w:val="lrTb"/>
            <w:noWrap w:val="false"/>
          </w:tcPr>
          <w:p>
            <w:pPr>
              <w:jc w:val="center"/>
              <w:spacing w:line="360" w:lineRule="exact"/>
              <w:widowControl/>
              <w:rPr>
                <w:rFonts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4</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建成覆盖城乡、功能衔接、服务可及的县（区）、街道（乡镇）、社区（村）三级养老服务设施网络（2分），培育一批专业化、连锁化、品牌化社区养老服务机构（1分），建成城市地区“一刻钟”居家养老服务圈（1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740"/>
        </w:trPr>
        <w:tc>
          <w:tcPr>
            <w:tcW w:w="273" w:type="pct"/>
            <w:vAlign w:val="center"/>
            <w:textDirection w:val="lrTb"/>
            <w:noWrap w:val="false"/>
          </w:tcPr>
          <w:p>
            <w:pPr>
              <w:jc w:val="center"/>
              <w:spacing w:line="360" w:lineRule="exact"/>
              <w:widowControl/>
              <w:rPr>
                <w:rFonts w:hint="default" w:ascii="方正仿宋_GBK" w:hAnsi="方正仿宋_GBK" w:eastAsia="方正仿宋_GBK" w:cs="方正仿宋_GBK"/>
                <w:b w:val="0"/>
                <w:bCs w:val="0"/>
                <w:color w:val="000000"/>
                <w:sz w:val="24"/>
                <w:lang w:val="en-US" w:eastAsia="zh-CN" w:bidi="ar"/>
              </w:rPr>
            </w:pPr>
            <w:r>
              <w:rPr>
                <w:rFonts w:hint="eastAsia" w:ascii="方正仿宋_GBK" w:hAnsi="方正仿宋_GBK" w:eastAsia="方正仿宋_GBK" w:cs="方正仿宋_GBK"/>
                <w:b w:val="0"/>
                <w:bCs w:val="0"/>
                <w:color w:val="000000"/>
                <w:sz w:val="24"/>
                <w:lang w:val="en-US" w:eastAsia="zh-CN" w:bidi="ar"/>
              </w:rPr>
              <w:t xml:space="preserve">21</w:t>
            </w:r>
            <w:r/>
          </w:p>
        </w:tc>
        <w:tc>
          <w:tcPr>
            <w:tcW w:w="463" w:type="pct"/>
            <w:vAlign w:val="center"/>
            <w:vMerge w:val="continue"/>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303" w:type="pct"/>
            <w:vAlign w:val="center"/>
            <w:vMerge w:val="continue"/>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3</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建立养老护理员入职补贴、岗位津贴、培训评价补贴等制度，实施职业技能培训，组织职业技能竞赛，开展评优表彰以及其他提升养老护理职业技能、强化褒扬激励的措施（3分）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740"/>
        </w:trPr>
        <w:tc>
          <w:tcPr>
            <w:tcW w:w="273" w:type="pct"/>
            <w:vAlign w:val="center"/>
            <w:textDirection w:val="lrTb"/>
            <w:noWrap w:val="false"/>
          </w:tcPr>
          <w:p>
            <w:pPr>
              <w:jc w:val="center"/>
              <w:spacing w:line="360" w:lineRule="exact"/>
              <w:widowControl/>
              <w:rPr>
                <w:rFonts w:hint="default" w:ascii="方正仿宋_GBK" w:hAnsi="方正仿宋_GBK" w:eastAsia="方正仿宋_GBK" w:cs="方正仿宋_GBK"/>
                <w:b w:val="0"/>
                <w:bCs w:val="0"/>
                <w:color w:val="000000"/>
                <w:sz w:val="24"/>
                <w:lang w:val="en-US" w:eastAsia="zh-CN" w:bidi="ar"/>
              </w:rPr>
            </w:pPr>
            <w:r>
              <w:rPr>
                <w:rFonts w:hint="eastAsia" w:ascii="方正仿宋_GBK" w:hAnsi="方正仿宋_GBK" w:eastAsia="方正仿宋_GBK" w:cs="方正仿宋_GBK"/>
                <w:b w:val="0"/>
                <w:bCs w:val="0"/>
                <w:color w:val="000000"/>
                <w:sz w:val="24"/>
                <w:lang w:val="en-US" w:eastAsia="zh-CN" w:bidi="ar"/>
              </w:rPr>
              <w:t xml:space="preserve">22</w:t>
            </w:r>
            <w:r/>
          </w:p>
        </w:tc>
        <w:tc>
          <w:tcPr>
            <w:tcW w:w="46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典型经验</w:t>
            </w:r>
            <w:r/>
          </w:p>
          <w:p>
            <w:pPr>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lang w:bidi="ar"/>
              </w:rPr>
              <w:t xml:space="preserve">总结</w:t>
            </w:r>
            <w:r/>
          </w:p>
        </w:tc>
        <w:tc>
          <w:tcPr>
            <w:tcW w:w="303" w:type="pct"/>
            <w:vAlign w:val="center"/>
            <w:textDirection w:val="lrTb"/>
            <w:noWrap w:val="false"/>
          </w:tcPr>
          <w:p>
            <w:pPr>
              <w:jc w:val="center"/>
              <w:spacing w:line="360" w:lineRule="exact"/>
              <w:widowControl/>
              <w:rPr>
                <w:rFonts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t xml:space="preserve">10</w:t>
            </w:r>
            <w:r/>
          </w:p>
        </w:tc>
        <w:tc>
          <w:tcPr>
            <w:tcW w:w="265" w:type="pct"/>
            <w:vAlign w:val="center"/>
            <w:textDirection w:val="lrTb"/>
            <w:noWrap w:val="false"/>
          </w:tcPr>
          <w:p>
            <w:pPr>
              <w:jc w:val="center"/>
              <w:spacing w:line="360" w:lineRule="exact"/>
              <w:widowControl/>
              <w:rPr>
                <w:rFonts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10</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eastAsia="zh-CN" w:bidi="ar"/>
              </w:rPr>
              <w:t xml:space="preserve">围绕项目实施，在抓好重点任务落实及规范管理等方面形成的经验做法；</w:t>
            </w:r>
            <w:r>
              <w:rPr>
                <w:rFonts w:hint="eastAsia" w:ascii="方正仿宋_GBK" w:hAnsi="方正仿宋_GBK" w:eastAsia="方正仿宋_GBK" w:cs="方正仿宋_GBK"/>
                <w:b w:val="0"/>
                <w:bCs w:val="0"/>
                <w:color w:val="000000"/>
                <w:sz w:val="24"/>
                <w:lang w:bidi="ar"/>
              </w:rPr>
              <w:t xml:space="preserve">以项目为抓手，</w:t>
            </w:r>
            <w:r>
              <w:rPr>
                <w:rFonts w:hint="eastAsia" w:ascii="方正仿宋_GBK" w:hAnsi="方正仿宋_GBK" w:eastAsia="方正仿宋_GBK" w:cs="方正仿宋_GBK"/>
                <w:b w:val="0"/>
                <w:bCs w:val="0"/>
                <w:color w:val="000000"/>
                <w:sz w:val="24"/>
                <w:lang w:eastAsia="zh-CN" w:bidi="ar"/>
              </w:rPr>
              <w:t xml:space="preserve">在推动居家社区养老服务发展上形成的经验模式</w:t>
            </w:r>
            <w:r>
              <w:rPr>
                <w:rFonts w:hint="eastAsia" w:ascii="方正仿宋_GBK" w:hAnsi="方正仿宋_GBK" w:eastAsia="方正仿宋_GBK" w:cs="方正仿宋_GBK"/>
                <w:b w:val="0"/>
                <w:bCs w:val="0"/>
                <w:color w:val="000000"/>
                <w:sz w:val="24"/>
                <w:lang w:bidi="ar"/>
              </w:rPr>
              <w:t xml:space="preserve">，最高得10分（</w:t>
            </w:r>
            <w:r>
              <w:rPr>
                <w:rFonts w:hint="eastAsia" w:ascii="方正仿宋_GBK" w:hAnsi="方正仿宋_GBK" w:eastAsia="方正仿宋_GBK" w:cs="方正仿宋_GBK"/>
                <w:b w:val="0"/>
                <w:bCs w:val="0"/>
                <w:color w:val="000000"/>
                <w:sz w:val="24"/>
                <w:lang w:val="en-US" w:eastAsia="zh-CN" w:bidi="ar"/>
              </w:rPr>
              <w:t xml:space="preserve">10</w:t>
            </w:r>
            <w:r>
              <w:rPr>
                <w:rFonts w:hint="eastAsia" w:ascii="方正仿宋_GBK" w:hAnsi="方正仿宋_GBK" w:eastAsia="方正仿宋_GBK" w:cs="方正仿宋_GBK"/>
                <w:b w:val="0"/>
                <w:bCs w:val="0"/>
                <w:color w:val="000000"/>
                <w:sz w:val="24"/>
                <w:lang w:bidi="ar"/>
              </w:rPr>
              <w:t xml:space="preserve">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530"/>
        </w:trPr>
        <w:tc>
          <w:tcPr>
            <w:tcW w:w="27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2</w:t>
            </w:r>
            <w:r>
              <w:rPr>
                <w:rFonts w:hint="eastAsia" w:ascii="方正仿宋_GBK" w:hAnsi="方正仿宋_GBK" w:eastAsia="方正仿宋_GBK" w:cs="方正仿宋_GBK"/>
                <w:b w:val="0"/>
                <w:bCs w:val="0"/>
                <w:color w:val="000000"/>
                <w:sz w:val="24"/>
                <w:lang w:val="en-US" w:eastAsia="zh-CN" w:bidi="ar"/>
              </w:rPr>
              <w:t xml:space="preserve">3</w:t>
            </w:r>
            <w:r/>
          </w:p>
        </w:tc>
        <w:tc>
          <w:tcPr>
            <w:tcW w:w="463" w:type="pct"/>
            <w:vAlign w:val="center"/>
            <w:vMerge w:val="restart"/>
            <w:textDirection w:val="lrTb"/>
            <w:noWrap w:val="false"/>
          </w:tcPr>
          <w:p>
            <w:pP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t xml:space="preserve">扣分项</w:t>
            </w:r>
            <w:r/>
          </w:p>
          <w:p>
            <w:pP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t xml:space="preserve">（最高扣10分）</w:t>
            </w:r>
            <w:r/>
          </w:p>
        </w:tc>
        <w:tc>
          <w:tcPr>
            <w:tcW w:w="303" w:type="pct"/>
            <w:vAlign w:val="center"/>
            <w:vMerge w:val="restart"/>
            <w:textDirection w:val="lrTb"/>
            <w:noWrap w:val="false"/>
          </w:tcPr>
          <w:p>
            <w:pPr>
              <w:ind w:firstLine="120"/>
              <w:jc w:val="both"/>
              <w:spacing w:line="360" w:lineRule="exact"/>
              <w:widowControl/>
              <w:rPr>
                <w:rFonts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t xml:space="preserve">-10</w:t>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-5</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资金使用被民政部委托的第三方机构发现问题的，扣2—5分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480"/>
        </w:trPr>
        <w:tc>
          <w:tcPr>
            <w:tcW w:w="27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2</w:t>
            </w:r>
            <w:r>
              <w:rPr>
                <w:rFonts w:hint="eastAsia" w:ascii="方正仿宋_GBK" w:hAnsi="方正仿宋_GBK" w:eastAsia="方正仿宋_GBK" w:cs="方正仿宋_GBK"/>
                <w:b w:val="0"/>
                <w:bCs w:val="0"/>
                <w:color w:val="000000"/>
                <w:sz w:val="24"/>
                <w:lang w:val="en-US" w:eastAsia="zh-CN" w:bidi="ar"/>
              </w:rPr>
              <w:t xml:space="preserve">4</w:t>
            </w:r>
            <w:r/>
          </w:p>
        </w:tc>
        <w:tc>
          <w:tcPr>
            <w:tcW w:w="463" w:type="pct"/>
            <w:vAlign w:val="center"/>
            <w:vMerge w:val="continue"/>
            <w:textDirection w:val="lrTb"/>
            <w:noWrap w:val="false"/>
          </w:tcPr>
          <w:p>
            <w:pPr>
              <w:ind w:firstLine="480"/>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303" w:type="pct"/>
            <w:vAlign w:val="center"/>
            <w:vMerge w:val="continue"/>
            <w:textDirection w:val="lrTb"/>
            <w:noWrap w:val="false"/>
          </w:tcPr>
          <w:p>
            <w:pPr>
              <w:ind w:firstLine="480"/>
              <w:jc w:val="both"/>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-10</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因工作不到位导致出现重大负面影响的，扣5—10分</w:t>
            </w:r>
            <w:r>
              <w:rPr>
                <w:rFonts w:hint="eastAsia" w:ascii="方正仿宋_GBK" w:hAnsi="方正仿宋_GBK" w:eastAsia="方正仿宋_GBK" w:cs="方正仿宋_GBK"/>
                <w:b w:val="0"/>
                <w:bCs w:val="0"/>
                <w:color w:val="000000"/>
                <w:sz w:val="24"/>
                <w:lang w:eastAsia="zh-CN" w:bidi="ar"/>
              </w:rPr>
              <w:t xml:space="preserve">。</w:t>
            </w:r>
            <w:r/>
          </w:p>
        </w:tc>
      </w:tr>
      <w:tr>
        <w:trPr>
          <w:jc w:val="center"/>
          <w:trHeight w:val="417"/>
        </w:trPr>
        <w:tc>
          <w:tcPr>
            <w:tcW w:w="273"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eastAsia="zh-CN" w:bidi="ar"/>
              </w:rPr>
            </w:pPr>
            <w:r>
              <w:rPr>
                <w:rFonts w:hint="eastAsia" w:ascii="方正仿宋_GBK" w:hAnsi="方正仿宋_GBK" w:eastAsia="方正仿宋_GBK" w:cs="方正仿宋_GBK"/>
                <w:b w:val="0"/>
                <w:bCs w:val="0"/>
                <w:color w:val="000000"/>
                <w:sz w:val="24"/>
                <w:lang w:bidi="ar"/>
              </w:rPr>
              <w:t xml:space="preserve">2</w:t>
            </w:r>
            <w:r>
              <w:rPr>
                <w:rFonts w:hint="eastAsia" w:ascii="方正仿宋_GBK" w:hAnsi="方正仿宋_GBK" w:eastAsia="方正仿宋_GBK" w:cs="方正仿宋_GBK"/>
                <w:b w:val="0"/>
                <w:bCs w:val="0"/>
                <w:color w:val="000000"/>
                <w:sz w:val="24"/>
                <w:lang w:val="en-US" w:eastAsia="zh-CN" w:bidi="ar"/>
              </w:rPr>
              <w:t xml:space="preserve">5</w:t>
            </w:r>
            <w:r/>
          </w:p>
        </w:tc>
        <w:tc>
          <w:tcPr>
            <w:tcW w:w="463" w:type="pct"/>
            <w:vAlign w:val="center"/>
            <w:vMerge w:val="continue"/>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303" w:type="pct"/>
            <w:vAlign w:val="center"/>
            <w:vMerge w:val="continue"/>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rPr>
            </w:pPr>
            <w:r>
              <w:rPr>
                <w:rFonts w:hint="eastAsia" w:ascii="方正仿宋_GBK" w:hAnsi="方正仿宋_GBK" w:eastAsia="方正仿宋_GBK" w:cs="方正仿宋_GBK"/>
                <w:b w:val="0"/>
                <w:bCs w:val="0"/>
                <w:color w:val="000000"/>
                <w:sz w:val="24"/>
              </w:rPr>
            </w:r>
            <w:r/>
          </w:p>
        </w:tc>
        <w:tc>
          <w:tcPr>
            <w:tcW w:w="265" w:type="pct"/>
            <w:vAlign w:val="center"/>
            <w:textDirection w:val="lrTb"/>
            <w:noWrap w:val="false"/>
          </w:tcPr>
          <w:p>
            <w:pPr>
              <w:jc w:val="center"/>
              <w:spacing w:line="360" w:lineRule="exact"/>
              <w:widowControl/>
              <w:rPr>
                <w:rFonts w:hint="eastAsia" w:ascii="方正仿宋_GBK" w:hAnsi="方正仿宋_GBK" w:eastAsia="方正仿宋_GBK" w:cs="方正仿宋_GBK"/>
                <w:b w:val="0"/>
                <w:bCs w:val="0"/>
                <w:color w:val="000000"/>
                <w:sz w:val="24"/>
                <w:lang w:bidi="ar"/>
              </w:rPr>
            </w:pPr>
            <w:r>
              <w:rPr>
                <w:rFonts w:hint="eastAsia" w:ascii="方正仿宋_GBK" w:hAnsi="方正仿宋_GBK" w:eastAsia="方正仿宋_GBK" w:cs="方正仿宋_GBK"/>
                <w:b w:val="0"/>
                <w:bCs w:val="0"/>
                <w:color w:val="000000"/>
                <w:sz w:val="24"/>
                <w:lang w:bidi="ar"/>
              </w:rPr>
              <w:t xml:space="preserve">-10</w:t>
            </w:r>
            <w:r/>
          </w:p>
        </w:tc>
        <w:tc>
          <w:tcPr>
            <w:tcW w:w="3694" w:type="pct"/>
            <w:vAlign w:val="center"/>
            <w:textDirection w:val="lrTb"/>
            <w:noWrap w:val="false"/>
          </w:tcPr>
          <w:p>
            <w:pPr>
              <w:jc w:val="both"/>
              <w:spacing w:line="360" w:lineRule="exact"/>
              <w:widowControl/>
              <w:rPr>
                <w:rFonts w:hint="eastAsia" w:ascii="方正仿宋_GBK" w:hAnsi="方正仿宋_GBK" w:eastAsia="方正仿宋_GBK" w:cs="方正仿宋_GBK"/>
                <w:b w:val="0"/>
                <w:bCs w:val="0"/>
                <w:color w:val="000000"/>
                <w:sz w:val="24"/>
                <w:lang w:eastAsia="zh-CN" w:bidi="ar"/>
              </w:rPr>
            </w:pPr>
            <w:r>
              <w:rPr>
                <w:rStyle w:val="991"/>
                <w:rFonts w:hint="default" w:ascii="方正仿宋_GBK" w:hAnsi="方正仿宋_GBK" w:eastAsia="方正仿宋_GBK" w:cs="方正仿宋_GBK"/>
                <w:b w:val="0"/>
                <w:bCs w:val="0"/>
                <w:lang w:bidi="ar"/>
              </w:rPr>
              <w:t xml:space="preserve">存在违反《中央专项彩票公益金支持居家和社区基本养老服务提升行动项目资金管理办法》（财社</w:t>
            </w:r>
            <w:r>
              <w:rPr>
                <w:rStyle w:val="992"/>
                <w:rFonts w:hint="eastAsia" w:ascii="方正仿宋_GBK" w:hAnsi="方正仿宋_GBK" w:eastAsia="方正仿宋_GBK" w:cs="方正仿宋_GBK"/>
                <w:b w:val="0"/>
                <w:bCs w:val="0"/>
                <w:lang w:bidi="ar"/>
              </w:rPr>
              <w:t xml:space="preserve">〔</w:t>
            </w:r>
            <w:r>
              <w:rPr>
                <w:rStyle w:val="991"/>
                <w:rFonts w:hint="default" w:ascii="方正仿宋_GBK" w:hAnsi="方正仿宋_GBK" w:eastAsia="方正仿宋_GBK" w:cs="方正仿宋_GBK"/>
                <w:b w:val="0"/>
                <w:bCs w:val="0"/>
                <w:lang w:bidi="ar"/>
              </w:rPr>
              <w:t xml:space="preserve">202</w:t>
            </w:r>
            <w:r>
              <w:rPr>
                <w:rStyle w:val="991"/>
                <w:rFonts w:hint="default" w:ascii="方正仿宋_GBK" w:hAnsi="方正仿宋_GBK" w:eastAsia="方正仿宋_GBK" w:cs="方正仿宋_GBK"/>
                <w:b w:val="0"/>
                <w:bCs w:val="0"/>
                <w:lang w:val="en-US" w:bidi="ar"/>
              </w:rPr>
              <w:t xml:space="preserve">4</w:t>
            </w:r>
            <w:r>
              <w:rPr>
                <w:rStyle w:val="992"/>
                <w:rFonts w:hint="eastAsia" w:ascii="方正仿宋_GBK" w:hAnsi="方正仿宋_GBK" w:eastAsia="方正仿宋_GBK" w:cs="方正仿宋_GBK"/>
                <w:b w:val="0"/>
                <w:bCs w:val="0"/>
                <w:lang w:bidi="ar"/>
              </w:rPr>
              <w:t xml:space="preserve">〕</w:t>
            </w:r>
            <w:r>
              <w:rPr>
                <w:rStyle w:val="991"/>
                <w:rFonts w:hint="default" w:ascii="方正仿宋_GBK" w:hAnsi="方正仿宋_GBK" w:eastAsia="方正仿宋_GBK" w:cs="方正仿宋_GBK"/>
                <w:b w:val="0"/>
                <w:bCs w:val="0"/>
                <w:lang w:val="en-US" w:bidi="ar"/>
              </w:rPr>
              <w:t xml:space="preserve">61</w:t>
            </w:r>
            <w:r>
              <w:rPr>
                <w:rStyle w:val="991"/>
                <w:rFonts w:hint="default" w:ascii="方正仿宋_GBK" w:hAnsi="方正仿宋_GBK" w:eastAsia="方正仿宋_GBK" w:cs="方正仿宋_GBK"/>
                <w:b w:val="0"/>
                <w:bCs w:val="0"/>
                <w:lang w:bidi="ar"/>
              </w:rPr>
              <w:t xml:space="preserve">号）第十</w:t>
            </w:r>
            <w:r>
              <w:rPr>
                <w:rStyle w:val="991"/>
                <w:rFonts w:hint="eastAsia" w:ascii="方正仿宋_GBK" w:hAnsi="方正仿宋_GBK" w:eastAsia="方正仿宋_GBK" w:cs="方正仿宋_GBK"/>
                <w:b w:val="0"/>
                <w:bCs w:val="0"/>
                <w:lang w:eastAsia="zh-CN" w:bidi="ar"/>
              </w:rPr>
              <w:t xml:space="preserve">九</w:t>
            </w:r>
            <w:r>
              <w:rPr>
                <w:rStyle w:val="991"/>
                <w:rFonts w:hint="default" w:ascii="方正仿宋_GBK" w:hAnsi="方正仿宋_GBK" w:eastAsia="方正仿宋_GBK" w:cs="方正仿宋_GBK"/>
                <w:b w:val="0"/>
                <w:bCs w:val="0"/>
                <w:lang w:bidi="ar"/>
              </w:rPr>
              <w:t xml:space="preserve">条等虚报、冒领、挤占、挪用、徇私舞弊等违规行为的，每出现一次扣5分，最高扣10分</w:t>
            </w:r>
            <w:r>
              <w:rPr>
                <w:rStyle w:val="991"/>
                <w:rFonts w:hint="eastAsia" w:ascii="方正仿宋_GBK" w:hAnsi="方正仿宋_GBK" w:eastAsia="方正仿宋_GBK" w:cs="方正仿宋_GBK"/>
                <w:b w:val="0"/>
                <w:bCs w:val="0"/>
                <w:lang w:eastAsia="zh-CN" w:bidi="ar"/>
              </w:rPr>
              <w:t xml:space="preserve">。</w:t>
            </w:r>
            <w:r/>
          </w:p>
        </w:tc>
      </w:tr>
      <w:tr>
        <w:trPr>
          <w:jc w:val="center"/>
          <w:trHeight w:val="740"/>
        </w:trPr>
        <w:tc>
          <w:tcPr>
            <w:gridSpan w:val="5"/>
            <w:tcW w:w="5000" w:type="pct"/>
            <w:vAlign w:val="center"/>
            <w:textDirection w:val="lrTb"/>
            <w:noWrap w:val="false"/>
          </w:tcPr>
          <w:p>
            <w:pPr>
              <w:ind w:firstLine="480"/>
              <w:jc w:val="both"/>
              <w:widowControl/>
              <w:rPr>
                <w:rFonts w:hint="eastAsia" w:eastAsia="方正仿宋_GBK"/>
                <w:b w:val="0"/>
                <w:bCs w:val="0"/>
                <w:lang w:val="en-US" w:eastAsia="zh-CN"/>
              </w:rPr>
            </w:pPr>
            <w:r>
              <w:rPr>
                <w:rFonts w:hint="eastAsia" w:ascii="方正仿宋_GBK" w:hAnsi="方正仿宋_GBK" w:eastAsia="方正仿宋_GBK" w:cs="方正仿宋_GBK"/>
                <w:b w:val="0"/>
                <w:bCs w:val="0"/>
                <w:sz w:val="24"/>
                <w:szCs w:val="24"/>
              </w:rPr>
              <w:t xml:space="preserve">注：成果验收总得分=（项目地区自评</w:t>
            </w:r>
            <w:r>
              <w:rPr>
                <w:rFonts w:hint="eastAsia" w:ascii="方正仿宋_GBK" w:hAnsi="方正仿宋_GBK" w:eastAsia="方正仿宋_GBK" w:cs="方正仿宋_GBK"/>
                <w:b w:val="0"/>
                <w:bCs w:val="0"/>
                <w:sz w:val="24"/>
                <w:szCs w:val="24"/>
                <w:lang w:eastAsia="zh-CN"/>
              </w:rPr>
              <w:t xml:space="preserve">得</w:t>
            </w:r>
            <w:r>
              <w:rPr>
                <w:rFonts w:hint="eastAsia" w:ascii="方正仿宋_GBK" w:hAnsi="方正仿宋_GBK" w:eastAsia="方正仿宋_GBK" w:cs="方正仿宋_GBK"/>
                <w:b w:val="0"/>
                <w:bCs w:val="0"/>
                <w:sz w:val="24"/>
                <w:szCs w:val="24"/>
              </w:rPr>
              <w:t xml:space="preserve">分x</w:t>
            </w:r>
            <w:r>
              <w:rPr>
                <w:rFonts w:hint="eastAsia" w:ascii="方正仿宋_GBK" w:hAnsi="方正仿宋_GBK" w:eastAsia="方正仿宋_GBK" w:cs="方正仿宋_GBK"/>
                <w:b w:val="0"/>
                <w:bCs w:val="0"/>
                <w:sz w:val="24"/>
                <w:szCs w:val="24"/>
                <w:lang w:val="en-US" w:eastAsia="zh-CN"/>
              </w:rPr>
              <w:t xml:space="preserve">20</w:t>
            </w:r>
            <w:r>
              <w:rPr>
                <w:rFonts w:hint="eastAsia" w:ascii="方正仿宋_GBK" w:hAnsi="方正仿宋_GBK" w:eastAsia="方正仿宋_GBK" w:cs="方正仿宋_GBK"/>
                <w:b w:val="0"/>
                <w:bCs w:val="0"/>
                <w:sz w:val="24"/>
                <w:szCs w:val="24"/>
              </w:rPr>
              <w:t xml:space="preserve">%+</w:t>
            </w:r>
            <w:r>
              <w:rPr>
                <w:rFonts w:hint="eastAsia" w:ascii="方正仿宋_GBK" w:hAnsi="方正仿宋_GBK" w:eastAsia="方正仿宋_GBK" w:cs="方正仿宋_GBK"/>
                <w:b w:val="0"/>
                <w:bCs w:val="0"/>
                <w:sz w:val="24"/>
                <w:szCs w:val="24"/>
                <w:lang w:eastAsia="zh-CN"/>
              </w:rPr>
              <w:t xml:space="preserve">专家</w:t>
            </w:r>
            <w:r>
              <w:rPr>
                <w:rFonts w:hint="eastAsia" w:ascii="方正仿宋_GBK" w:hAnsi="方正仿宋_GBK" w:eastAsia="方正仿宋_GBK" w:cs="方正仿宋_GBK"/>
                <w:b w:val="0"/>
                <w:bCs w:val="0"/>
                <w:sz w:val="24"/>
                <w:szCs w:val="24"/>
                <w:lang w:val="en-US" w:eastAsia="zh-CN"/>
              </w:rPr>
              <w:t xml:space="preserve">评价</w:t>
            </w:r>
            <w:r>
              <w:rPr>
                <w:rFonts w:hint="eastAsia" w:ascii="方正仿宋_GBK" w:hAnsi="方正仿宋_GBK" w:eastAsia="方正仿宋_GBK" w:cs="方正仿宋_GBK"/>
                <w:b w:val="0"/>
                <w:bCs w:val="0"/>
                <w:sz w:val="24"/>
                <w:szCs w:val="24"/>
                <w:lang w:eastAsia="zh-CN"/>
              </w:rPr>
              <w:t xml:space="preserve">得分</w:t>
            </w:r>
            <w:r>
              <w:rPr>
                <w:rFonts w:hint="eastAsia" w:ascii="方正仿宋_GBK" w:hAnsi="方正仿宋_GBK" w:eastAsia="方正仿宋_GBK" w:cs="方正仿宋_GBK"/>
                <w:b w:val="0"/>
                <w:bCs w:val="0"/>
                <w:sz w:val="24"/>
                <w:szCs w:val="24"/>
              </w:rPr>
              <w:t xml:space="preserve">x</w:t>
            </w:r>
            <w:r>
              <w:rPr>
                <w:rFonts w:hint="eastAsia" w:ascii="方正仿宋_GBK" w:hAnsi="方正仿宋_GBK" w:eastAsia="方正仿宋_GBK" w:cs="方正仿宋_GBK"/>
                <w:b w:val="0"/>
                <w:bCs w:val="0"/>
                <w:sz w:val="24"/>
                <w:szCs w:val="24"/>
                <w:lang w:val="en-US" w:eastAsia="zh-CN"/>
              </w:rPr>
              <w:t xml:space="preserve">80</w:t>
            </w:r>
            <w:r>
              <w:rPr>
                <w:rFonts w:hint="eastAsia" w:ascii="方正仿宋_GBK" w:hAnsi="方正仿宋_GBK" w:eastAsia="方正仿宋_GBK" w:cs="方正仿宋_GBK"/>
                <w:b w:val="0"/>
                <w:bCs w:val="0"/>
                <w:sz w:val="24"/>
                <w:szCs w:val="24"/>
              </w:rPr>
              <w:t xml:space="preserve">%）*调节系数；调节系数=1-缩放系数*（项目地区自评</w:t>
            </w:r>
            <w:r>
              <w:rPr>
                <w:rFonts w:hint="eastAsia" w:ascii="方正仿宋_GBK" w:hAnsi="方正仿宋_GBK" w:eastAsia="方正仿宋_GBK" w:cs="方正仿宋_GBK"/>
                <w:b w:val="0"/>
                <w:bCs w:val="0"/>
                <w:sz w:val="24"/>
                <w:szCs w:val="24"/>
                <w:lang w:eastAsia="zh-CN"/>
              </w:rPr>
              <w:t xml:space="preserve">得</w:t>
            </w:r>
            <w:r>
              <w:rPr>
                <w:rFonts w:hint="eastAsia" w:ascii="方正仿宋_GBK" w:hAnsi="方正仿宋_GBK" w:eastAsia="方正仿宋_GBK" w:cs="方正仿宋_GBK"/>
                <w:b w:val="0"/>
                <w:bCs w:val="0"/>
                <w:sz w:val="24"/>
                <w:szCs w:val="24"/>
              </w:rPr>
              <w:t xml:space="preserve">分-专家</w:t>
            </w:r>
            <w:r>
              <w:rPr>
                <w:rFonts w:hint="eastAsia" w:ascii="方正仿宋_GBK" w:hAnsi="方正仿宋_GBK" w:eastAsia="方正仿宋_GBK" w:cs="方正仿宋_GBK"/>
                <w:b w:val="0"/>
                <w:bCs w:val="0"/>
                <w:sz w:val="24"/>
                <w:szCs w:val="24"/>
                <w:lang w:val="en-US" w:eastAsia="zh-CN"/>
              </w:rPr>
              <w:t xml:space="preserve">评价</w:t>
            </w:r>
            <w:r>
              <w:rPr>
                <w:rFonts w:hint="eastAsia" w:ascii="方正仿宋_GBK" w:hAnsi="方正仿宋_GBK" w:eastAsia="方正仿宋_GBK" w:cs="方正仿宋_GBK"/>
                <w:b w:val="0"/>
                <w:bCs w:val="0"/>
                <w:sz w:val="24"/>
                <w:szCs w:val="24"/>
                <w:lang w:eastAsia="zh-CN"/>
              </w:rPr>
              <w:t xml:space="preserve">得</w:t>
            </w:r>
            <w:r>
              <w:rPr>
                <w:rFonts w:hint="eastAsia" w:ascii="方正仿宋_GBK" w:hAnsi="方正仿宋_GBK" w:eastAsia="方正仿宋_GBK" w:cs="方正仿宋_GBK"/>
                <w:b w:val="0"/>
                <w:bCs w:val="0"/>
                <w:sz w:val="24"/>
                <w:szCs w:val="24"/>
              </w:rPr>
              <w:t xml:space="preserve">分）/专家</w:t>
            </w:r>
            <w:r>
              <w:rPr>
                <w:rFonts w:hint="eastAsia" w:ascii="方正仿宋_GBK" w:hAnsi="方正仿宋_GBK" w:eastAsia="方正仿宋_GBK" w:cs="方正仿宋_GBK"/>
                <w:b w:val="0"/>
                <w:bCs w:val="0"/>
                <w:sz w:val="24"/>
                <w:szCs w:val="24"/>
                <w:lang w:val="en-US" w:eastAsia="zh-CN"/>
              </w:rPr>
              <w:t xml:space="preserve">评价</w:t>
            </w:r>
            <w:r>
              <w:rPr>
                <w:rFonts w:hint="eastAsia" w:ascii="方正仿宋_GBK" w:hAnsi="方正仿宋_GBK" w:eastAsia="方正仿宋_GBK" w:cs="方正仿宋_GBK"/>
                <w:b w:val="0"/>
                <w:bCs w:val="0"/>
                <w:sz w:val="24"/>
                <w:szCs w:val="24"/>
                <w:lang w:eastAsia="zh-CN"/>
              </w:rPr>
              <w:t xml:space="preserve">得</w:t>
            </w:r>
            <w:r>
              <w:rPr>
                <w:rFonts w:hint="eastAsia" w:ascii="方正仿宋_GBK" w:hAnsi="方正仿宋_GBK" w:eastAsia="方正仿宋_GBK" w:cs="方正仿宋_GBK"/>
                <w:b w:val="0"/>
                <w:bCs w:val="0"/>
                <w:sz w:val="24"/>
                <w:szCs w:val="24"/>
              </w:rPr>
              <w:t xml:space="preserve">分，调节系数只适用于项目地区自评</w:t>
            </w:r>
            <w:r>
              <w:rPr>
                <w:rFonts w:hint="eastAsia" w:ascii="方正仿宋_GBK" w:hAnsi="方正仿宋_GBK" w:eastAsia="方正仿宋_GBK" w:cs="方正仿宋_GBK"/>
                <w:b w:val="0"/>
                <w:bCs w:val="0"/>
                <w:sz w:val="24"/>
                <w:szCs w:val="24"/>
                <w:lang w:eastAsia="zh-CN"/>
              </w:rPr>
              <w:t xml:space="preserve">得</w:t>
            </w:r>
            <w:r>
              <w:rPr>
                <w:rFonts w:hint="eastAsia" w:ascii="方正仿宋_GBK" w:hAnsi="方正仿宋_GBK" w:eastAsia="方正仿宋_GBK" w:cs="方正仿宋_GBK"/>
                <w:b w:val="0"/>
                <w:bCs w:val="0"/>
                <w:sz w:val="24"/>
                <w:szCs w:val="24"/>
              </w:rPr>
              <w:t xml:space="preserve">分高于专家</w:t>
            </w:r>
            <w:r>
              <w:rPr>
                <w:rFonts w:hint="eastAsia" w:ascii="方正仿宋_GBK" w:hAnsi="方正仿宋_GBK" w:eastAsia="方正仿宋_GBK" w:cs="方正仿宋_GBK"/>
                <w:b w:val="0"/>
                <w:bCs w:val="0"/>
                <w:sz w:val="24"/>
                <w:szCs w:val="24"/>
                <w:lang w:val="en-US" w:eastAsia="zh-CN"/>
              </w:rPr>
              <w:t xml:space="preserve">评价</w:t>
            </w:r>
            <w:r>
              <w:rPr>
                <w:rFonts w:hint="eastAsia" w:ascii="方正仿宋_GBK" w:hAnsi="方正仿宋_GBK" w:eastAsia="方正仿宋_GBK" w:cs="方正仿宋_GBK"/>
                <w:b w:val="0"/>
                <w:bCs w:val="0"/>
                <w:sz w:val="24"/>
                <w:szCs w:val="24"/>
                <w:lang w:eastAsia="zh-CN"/>
              </w:rPr>
              <w:t xml:space="preserve">得</w:t>
            </w:r>
            <w:r>
              <w:rPr>
                <w:rFonts w:hint="eastAsia" w:ascii="方正仿宋_GBK" w:hAnsi="方正仿宋_GBK" w:eastAsia="方正仿宋_GBK" w:cs="方正仿宋_GBK"/>
                <w:b w:val="0"/>
                <w:bCs w:val="0"/>
                <w:sz w:val="24"/>
                <w:szCs w:val="24"/>
              </w:rPr>
              <w:t xml:space="preserve">分的情况，缩放系数将根据总体分差情况另行确定</w:t>
            </w:r>
            <w:r>
              <w:rPr>
                <w:rFonts w:hint="eastAsia" w:ascii="方正仿宋_GBK" w:hAnsi="方正仿宋_GBK" w:eastAsia="方正仿宋_GBK" w:cs="方正仿宋_GBK"/>
                <w:b w:val="0"/>
                <w:bCs w:val="0"/>
                <w:sz w:val="24"/>
                <w:szCs w:val="24"/>
                <w:lang w:eastAsia="zh-CN"/>
              </w:rPr>
              <w:t xml:space="preserve">。</w:t>
            </w:r>
            <w:r/>
          </w:p>
        </w:tc>
      </w:tr>
    </w:tbl>
    <w:p>
      <w:pPr>
        <w:pStyle w:val="724"/>
        <w:ind w:firstLine="482"/>
        <w:jc w:val="both"/>
        <w:keepLines w:val="0"/>
        <w:keepNext w:val="0"/>
        <w:spacing w:before="0" w:beforeAutospacing="0" w:after="0" w:afterAutospacing="0" w:line="0" w:lineRule="atLeast"/>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自评报告编写体例</w:t>
      </w:r>
      <w:r/>
    </w:p>
    <w:p>
      <w:pPr>
        <w:pStyle w:val="724"/>
        <w:ind w:left="0" w:firstLine="480"/>
        <w:jc w:val="both"/>
        <w:keepLines w:val="0"/>
        <w:keepNext w:val="0"/>
        <w:spacing w:before="0" w:beforeAutospacing="0" w:after="0" w:afterAutospacing="0" w:line="0" w:lineRule="atLeast"/>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自评报告要逐项对照《验收评价标准》所列评价内容及标准，客观如实撰写；相关结论无佐证材料的，将不予认可。</w:t>
      </w:r>
      <w:r/>
    </w:p>
    <w:p>
      <w:pPr>
        <w:pStyle w:val="724"/>
        <w:ind w:left="0" w:firstLine="480"/>
        <w:jc w:val="both"/>
        <w:keepLines w:val="0"/>
        <w:keepNext w:val="0"/>
        <w:spacing w:before="0" w:beforeAutospacing="0" w:after="0" w:afterAutospacing="0" w:line="0" w:lineRule="atLeast"/>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eastAsia="zh-CN"/>
        </w:rPr>
        <w:t xml:space="preserve">一、</w:t>
      </w:r>
      <w:r>
        <w:rPr>
          <w:rFonts w:hint="eastAsia" w:ascii="宋体" w:hAnsi="宋体" w:eastAsia="宋体" w:cs="宋体"/>
          <w:b w:val="0"/>
          <w:bCs w:val="0"/>
          <w:color w:val="000000"/>
          <w:sz w:val="24"/>
          <w:szCs w:val="24"/>
        </w:rPr>
        <w:t xml:space="preserve">引导不同主体投入模式的总结。项目实施以来，省、市、区三级财政在居家社区养老服务、</w:t>
      </w:r>
      <w:r>
        <w:rPr>
          <w:rFonts w:hint="eastAsia" w:ascii="宋体" w:hAnsi="宋体" w:eastAsia="宋体" w:cs="宋体"/>
          <w:b w:val="0"/>
          <w:bCs w:val="0"/>
          <w:color w:val="000000"/>
          <w:sz w:val="24"/>
          <w:szCs w:val="24"/>
          <w:lang w:eastAsia="zh-CN"/>
        </w:rPr>
        <w:t xml:space="preserve">2024</w:t>
      </w:r>
      <w:r>
        <w:rPr>
          <w:rFonts w:hint="eastAsia" w:ascii="宋体" w:hAnsi="宋体" w:eastAsia="宋体" w:cs="宋体"/>
          <w:b w:val="0"/>
          <w:bCs w:val="0"/>
          <w:color w:val="000000"/>
          <w:sz w:val="24"/>
          <w:szCs w:val="24"/>
          <w:lang w:val="en-US" w:eastAsia="zh-CN"/>
        </w:rPr>
        <w:t xml:space="preserve">年</w:t>
      </w:r>
      <w:r>
        <w:rPr>
          <w:rFonts w:hint="eastAsia" w:ascii="宋体" w:hAnsi="宋体" w:eastAsia="宋体" w:cs="宋体"/>
          <w:b w:val="0"/>
          <w:bCs w:val="0"/>
          <w:color w:val="000000"/>
          <w:sz w:val="24"/>
          <w:szCs w:val="24"/>
        </w:rPr>
        <w:t xml:space="preserve">项目分别投入的资金情况（明确资金来源、投入金额占地方财政收入比重）；社会资本投入情况，明确投入主体类型（国企、民企、外资等）、投入金额，引导社会资本投入的方式、社会资本运营的模式等。</w:t>
      </w:r>
      <w:r/>
    </w:p>
    <w:p>
      <w:pPr>
        <w:pStyle w:val="724"/>
        <w:ind w:left="0" w:firstLine="480"/>
        <w:jc w:val="both"/>
        <w:keepLines w:val="0"/>
        <w:keepNext w:val="0"/>
        <w:spacing w:before="0" w:beforeAutospacing="0" w:after="0" w:afterAutospacing="0" w:line="0" w:lineRule="atLeast"/>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eastAsia="zh-CN"/>
        </w:rPr>
        <w:t xml:space="preserve">二、</w:t>
      </w:r>
      <w:r>
        <w:rPr>
          <w:rFonts w:hint="eastAsia" w:ascii="宋体" w:hAnsi="宋体" w:eastAsia="宋体" w:cs="宋体"/>
          <w:b w:val="0"/>
          <w:bCs w:val="0"/>
          <w:color w:val="000000"/>
          <w:sz w:val="24"/>
          <w:szCs w:val="24"/>
        </w:rPr>
        <w:t xml:space="preserve">服务机构遴选及监管模式的总结。对服务机构的遴选方式及要求、服务机构类型、服务类型及单价、各项服务的现实需求、对服务机构验收监督管理方式等。</w:t>
      </w:r>
      <w:r/>
    </w:p>
    <w:p>
      <w:pPr>
        <w:pStyle w:val="724"/>
        <w:ind w:left="0" w:firstLine="480"/>
        <w:jc w:val="both"/>
        <w:keepLines w:val="0"/>
        <w:keepNext w:val="0"/>
        <w:spacing w:before="0" w:beforeAutospacing="0" w:after="0" w:afterAutospacing="0" w:line="0" w:lineRule="atLeast"/>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eastAsia="zh-CN"/>
        </w:rPr>
        <w:t xml:space="preserve">三、</w:t>
      </w:r>
      <w:r>
        <w:rPr>
          <w:rFonts w:hint="eastAsia" w:ascii="宋体" w:hAnsi="宋体" w:eastAsia="宋体" w:cs="宋体"/>
          <w:b w:val="0"/>
          <w:bCs w:val="0"/>
          <w:color w:val="000000"/>
          <w:sz w:val="24"/>
          <w:szCs w:val="24"/>
        </w:rPr>
        <w:t xml:space="preserve">存在问题及建议。项目解决的主要问题及方式方法，主要创新点；尚未解决的困难问题，包括需部级层面予以协调支持的方面。</w:t>
      </w:r>
      <w:r/>
    </w:p>
    <w:p>
      <w:pPr>
        <w:pStyle w:val="724"/>
        <w:ind w:left="0" w:firstLine="480"/>
        <w:jc w:val="both"/>
        <w:keepLines w:val="0"/>
        <w:keepNext w:val="0"/>
        <w:spacing w:before="0" w:beforeAutospacing="0" w:after="0" w:afterAutospacing="0" w:line="0" w:lineRule="atLeast"/>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典型经验编写要求</w:t>
      </w:r>
      <w:r/>
    </w:p>
    <w:p>
      <w:pPr>
        <w:pStyle w:val="724"/>
        <w:ind w:left="0" w:firstLine="480"/>
        <w:jc w:val="both"/>
        <w:keepLines w:val="0"/>
        <w:keepNext w:val="0"/>
        <w:spacing w:before="0" w:beforeAutospacing="0" w:after="0" w:afterAutospacing="0" w:line="0" w:lineRule="atLeast"/>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一、总体要求</w:t>
      </w:r>
      <w:r/>
    </w:p>
    <w:p>
      <w:pPr>
        <w:pStyle w:val="724"/>
        <w:ind w:left="0" w:firstLine="480"/>
        <w:jc w:val="both"/>
        <w:keepLines w:val="0"/>
        <w:keepNext w:val="0"/>
        <w:spacing w:before="0" w:beforeAutospacing="0" w:after="0" w:afterAutospacing="0" w:line="0" w:lineRule="atLeast"/>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紧紧围绕项目重点任务实施，提炼总结工作中采取的真招实策</w:t>
      </w:r>
      <w:r>
        <w:rPr>
          <w:rFonts w:hint="eastAsia" w:ascii="宋体" w:hAnsi="宋体" w:eastAsia="宋体" w:cs="宋体"/>
          <w:b w:val="0"/>
          <w:bCs w:val="0"/>
          <w:color w:val="000000"/>
          <w:sz w:val="24"/>
          <w:szCs w:val="24"/>
          <w:lang w:eastAsia="zh-CN"/>
        </w:rPr>
        <w:t xml:space="preserve">、取得的示范效应，以及以项目为抓手带动居家社区养老服务发展、</w:t>
      </w:r>
      <w:r>
        <w:rPr>
          <w:rFonts w:hint="eastAsia" w:ascii="宋体" w:hAnsi="宋体" w:eastAsia="宋体" w:cs="宋体"/>
          <w:b w:val="0"/>
          <w:bCs w:val="0"/>
          <w:color w:val="000000"/>
          <w:sz w:val="24"/>
          <w:szCs w:val="24"/>
        </w:rPr>
        <w:t xml:space="preserve">解决</w:t>
      </w:r>
      <w:r>
        <w:rPr>
          <w:rFonts w:hint="eastAsia" w:ascii="宋体" w:hAnsi="宋体" w:eastAsia="宋体" w:cs="宋体"/>
          <w:b w:val="0"/>
          <w:bCs w:val="0"/>
          <w:color w:val="000000"/>
          <w:sz w:val="24"/>
          <w:szCs w:val="24"/>
          <w:lang w:eastAsia="zh-CN"/>
        </w:rPr>
        <w:t xml:space="preserve">工作堵点难点和老年人</w:t>
      </w:r>
      <w:r>
        <w:rPr>
          <w:rFonts w:hint="eastAsia" w:ascii="宋体" w:hAnsi="宋体" w:eastAsia="宋体" w:cs="宋体"/>
          <w:b w:val="0"/>
          <w:bCs w:val="0"/>
          <w:color w:val="000000"/>
          <w:sz w:val="24"/>
          <w:szCs w:val="24"/>
        </w:rPr>
        <w:t xml:space="preserve">急难愁盼</w:t>
      </w:r>
      <w:r>
        <w:rPr>
          <w:rFonts w:hint="eastAsia" w:ascii="宋体" w:hAnsi="宋体" w:eastAsia="宋体" w:cs="宋体"/>
          <w:b w:val="0"/>
          <w:bCs w:val="0"/>
          <w:color w:val="000000"/>
          <w:sz w:val="24"/>
          <w:szCs w:val="24"/>
          <w:lang w:val="en-US" w:eastAsia="zh-CN"/>
        </w:rPr>
        <w:t xml:space="preserve">问题</w:t>
      </w:r>
      <w:r>
        <w:rPr>
          <w:rFonts w:hint="eastAsia" w:ascii="宋体" w:hAnsi="宋体" w:eastAsia="宋体" w:cs="宋体"/>
          <w:b w:val="0"/>
          <w:bCs w:val="0"/>
          <w:color w:val="000000"/>
          <w:sz w:val="24"/>
          <w:szCs w:val="24"/>
        </w:rPr>
        <w:t xml:space="preserve">的创新</w:t>
      </w:r>
      <w:r>
        <w:rPr>
          <w:rFonts w:hint="eastAsia" w:ascii="宋体" w:hAnsi="宋体" w:eastAsia="宋体" w:cs="宋体"/>
          <w:b w:val="0"/>
          <w:bCs w:val="0"/>
          <w:color w:val="000000"/>
          <w:sz w:val="24"/>
          <w:szCs w:val="24"/>
          <w:lang w:eastAsia="zh-CN"/>
        </w:rPr>
        <w:t xml:space="preserve">举措和</w:t>
      </w:r>
      <w:r>
        <w:rPr>
          <w:rFonts w:hint="eastAsia" w:ascii="宋体" w:hAnsi="宋体" w:eastAsia="宋体" w:cs="宋体"/>
          <w:b w:val="0"/>
          <w:bCs w:val="0"/>
          <w:color w:val="000000"/>
          <w:sz w:val="24"/>
          <w:szCs w:val="24"/>
        </w:rPr>
        <w:t xml:space="preserve">特色</w:t>
      </w:r>
      <w:r>
        <w:rPr>
          <w:rFonts w:hint="eastAsia" w:ascii="宋体" w:hAnsi="宋体" w:eastAsia="宋体" w:cs="宋体"/>
          <w:b w:val="0"/>
          <w:bCs w:val="0"/>
          <w:color w:val="000000"/>
          <w:sz w:val="24"/>
          <w:szCs w:val="24"/>
          <w:lang w:eastAsia="zh-CN"/>
        </w:rPr>
        <w:t xml:space="preserve">做法模式</w:t>
      </w:r>
      <w:r>
        <w:rPr>
          <w:rFonts w:hint="eastAsia" w:ascii="宋体" w:hAnsi="宋体" w:eastAsia="宋体" w:cs="宋体"/>
          <w:b w:val="0"/>
          <w:bCs w:val="0"/>
          <w:color w:val="000000"/>
          <w:sz w:val="24"/>
          <w:szCs w:val="24"/>
        </w:rPr>
        <w:t xml:space="preserve">。</w:t>
      </w:r>
      <w:r/>
    </w:p>
    <w:p>
      <w:pPr>
        <w:pStyle w:val="724"/>
        <w:ind w:left="0" w:firstLine="480"/>
        <w:jc w:val="both"/>
        <w:keepLines w:val="0"/>
        <w:keepNext w:val="0"/>
        <w:spacing w:before="0" w:beforeAutospacing="0" w:after="0" w:afterAutospacing="0" w:line="0" w:lineRule="atLeast"/>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    二、主要内容</w:t>
      </w:r>
      <w:r/>
    </w:p>
    <w:p>
      <w:pPr>
        <w:pStyle w:val="724"/>
        <w:ind w:left="0" w:firstLine="480"/>
        <w:jc w:val="both"/>
        <w:keepLines w:val="0"/>
        <w:keepNext w:val="0"/>
        <w:spacing w:before="0" w:beforeAutospacing="0" w:after="0" w:afterAutospacing="0" w:line="0" w:lineRule="atLeast"/>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包括但不限于以下内容，也可选取其中较为突出的经验做法：</w:t>
      </w:r>
      <w:r/>
    </w:p>
    <w:p>
      <w:pPr>
        <w:pStyle w:val="724"/>
        <w:ind w:left="0" w:firstLine="480"/>
        <w:jc w:val="both"/>
        <w:keepLines w:val="0"/>
        <w:keepNext w:val="0"/>
        <w:spacing w:before="0" w:beforeAutospacing="0" w:after="0" w:afterAutospacing="0" w:line="0" w:lineRule="atLeast"/>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（一）围绕项目实施，在组织领导、服务对象精准评估、服务主体遴选和服务监管、重点任务标准制定、服务流程规范、配套政策资金支持、信息化管理、评估验收等方面形成的经验模式。</w:t>
      </w:r>
      <w:r/>
    </w:p>
    <w:p>
      <w:pPr>
        <w:pStyle w:val="724"/>
        <w:ind w:left="0" w:firstLine="480"/>
        <w:jc w:val="both"/>
        <w:keepLines w:val="0"/>
        <w:keepNext w:val="0"/>
        <w:spacing w:before="0" w:beforeAutospacing="0" w:after="0" w:afterAutospacing="0" w:line="0" w:lineRule="atLeast"/>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（二）以项目为抓手，在推动</w:t>
      </w:r>
      <w:r>
        <w:rPr>
          <w:rFonts w:hint="eastAsia" w:ascii="宋体" w:hAnsi="宋体" w:eastAsia="宋体" w:cs="宋体"/>
          <w:b w:val="0"/>
          <w:bCs w:val="0"/>
          <w:color w:val="000000"/>
          <w:sz w:val="24"/>
          <w:szCs w:val="24"/>
          <w:lang w:eastAsia="zh-CN"/>
        </w:rPr>
        <w:t xml:space="preserve">完善三级</w:t>
      </w:r>
      <w:r>
        <w:rPr>
          <w:rFonts w:hint="eastAsia" w:ascii="宋体" w:hAnsi="宋体" w:eastAsia="宋体" w:cs="宋体"/>
          <w:b w:val="0"/>
          <w:bCs w:val="0"/>
          <w:color w:val="000000"/>
          <w:sz w:val="24"/>
          <w:szCs w:val="24"/>
        </w:rPr>
        <w:t xml:space="preserve">养老服务网络、</w:t>
      </w:r>
      <w:r>
        <w:rPr>
          <w:rFonts w:hint="eastAsia" w:ascii="宋体" w:hAnsi="宋体" w:eastAsia="宋体" w:cs="宋体"/>
          <w:b w:val="0"/>
          <w:bCs w:val="0"/>
          <w:color w:val="000000"/>
          <w:sz w:val="24"/>
          <w:szCs w:val="24"/>
          <w:lang w:eastAsia="zh-CN"/>
        </w:rPr>
        <w:t xml:space="preserve">引导专业机构</w:t>
      </w:r>
      <w:r>
        <w:rPr>
          <w:rFonts w:hint="eastAsia" w:ascii="宋体" w:hAnsi="宋体" w:eastAsia="宋体" w:cs="宋体"/>
          <w:b w:val="0"/>
          <w:bCs w:val="0"/>
          <w:color w:val="000000"/>
          <w:sz w:val="24"/>
          <w:szCs w:val="24"/>
        </w:rPr>
        <w:t xml:space="preserve">可持续运营、</w:t>
      </w:r>
      <w:r>
        <w:rPr>
          <w:rFonts w:hint="eastAsia" w:ascii="宋体" w:hAnsi="宋体" w:eastAsia="宋体" w:cs="宋体"/>
          <w:b w:val="0"/>
          <w:bCs w:val="0"/>
          <w:color w:val="000000"/>
          <w:sz w:val="24"/>
          <w:szCs w:val="24"/>
          <w:lang w:eastAsia="zh-CN"/>
        </w:rPr>
        <w:t xml:space="preserve">创新居家社区养老服务模式、</w:t>
      </w:r>
      <w:r>
        <w:rPr>
          <w:rFonts w:hint="eastAsia" w:ascii="宋体" w:hAnsi="宋体" w:eastAsia="宋体" w:cs="宋体"/>
          <w:b w:val="0"/>
          <w:bCs w:val="0"/>
          <w:color w:val="000000"/>
          <w:sz w:val="24"/>
          <w:szCs w:val="24"/>
        </w:rPr>
        <w:t xml:space="preserve">运用智慧科技手段赋能、完善要素保障措施</w:t>
      </w:r>
      <w:r>
        <w:rPr>
          <w:rFonts w:hint="eastAsia" w:ascii="宋体" w:hAnsi="宋体" w:eastAsia="宋体" w:cs="宋体"/>
          <w:b w:val="0"/>
          <w:bCs w:val="0"/>
          <w:color w:val="000000"/>
          <w:sz w:val="24"/>
          <w:szCs w:val="24"/>
          <w:lang w:eastAsia="zh-CN"/>
        </w:rPr>
        <w:t xml:space="preserve">、加强养老服务人才队伍建设</w:t>
      </w:r>
      <w:r>
        <w:rPr>
          <w:rFonts w:hint="eastAsia" w:ascii="宋体" w:hAnsi="宋体" w:eastAsia="宋体" w:cs="宋体"/>
          <w:b w:val="0"/>
          <w:bCs w:val="0"/>
          <w:color w:val="000000"/>
          <w:sz w:val="24"/>
          <w:szCs w:val="24"/>
        </w:rPr>
        <w:t xml:space="preserve">等方面形成的经验模式。</w:t>
      </w:r>
      <w:r/>
    </w:p>
    <w:p>
      <w:pPr>
        <w:pStyle w:val="724"/>
        <w:ind w:left="0" w:firstLine="480"/>
        <w:jc w:val="both"/>
        <w:keepLines w:val="0"/>
        <w:keepNext w:val="0"/>
        <w:spacing w:before="0" w:beforeAutospacing="0" w:after="0" w:afterAutospacing="0" w:line="0" w:lineRule="atLeast"/>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三、体例要求</w:t>
      </w:r>
      <w:r/>
    </w:p>
    <w:p>
      <w:pPr>
        <w:pStyle w:val="724"/>
        <w:ind w:left="0" w:firstLine="480"/>
        <w:jc w:val="both"/>
        <w:keepLines w:val="0"/>
        <w:keepNext w:val="0"/>
        <w:spacing w:before="0" w:beforeAutospacing="0" w:after="0" w:afterAutospacing="0" w:line="0" w:lineRule="atLeast"/>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典型经验编写应事实完整、条理清晰、数据准确、语言凝练，字数不超过5000字。具体包括：</w:t>
      </w:r>
      <w:r/>
    </w:p>
    <w:p>
      <w:pPr>
        <w:pStyle w:val="724"/>
        <w:ind w:left="0" w:firstLine="480"/>
        <w:jc w:val="both"/>
        <w:keepLines w:val="0"/>
        <w:keepNext w:val="0"/>
        <w:spacing w:before="0" w:beforeAutospacing="0" w:after="0" w:afterAutospacing="0" w:line="0" w:lineRule="atLeast"/>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（一）情况背景。介绍项目地区人口老龄化</w:t>
      </w:r>
      <w:r>
        <w:rPr>
          <w:rFonts w:hint="eastAsia" w:ascii="宋体" w:hAnsi="宋体" w:eastAsia="宋体" w:cs="宋体"/>
          <w:b w:val="0"/>
          <w:bCs w:val="0"/>
          <w:color w:val="000000"/>
          <w:sz w:val="24"/>
          <w:szCs w:val="24"/>
          <w:lang w:eastAsia="zh-CN"/>
        </w:rPr>
        <w:t xml:space="preserve">情况</w:t>
      </w:r>
      <w:r>
        <w:rPr>
          <w:rFonts w:hint="eastAsia" w:ascii="宋体" w:hAnsi="宋体" w:eastAsia="宋体" w:cs="宋体"/>
          <w:b w:val="0"/>
          <w:bCs w:val="0"/>
          <w:color w:val="000000"/>
          <w:sz w:val="24"/>
          <w:szCs w:val="24"/>
        </w:rPr>
        <w:t xml:space="preserve">、养老服务工作基础、面临的突出困难和问题等。</w:t>
      </w:r>
      <w:r>
        <w:rPr>
          <w:rFonts w:hint="eastAsia" w:ascii="宋体" w:hAnsi="宋体" w:eastAsia="宋体" w:cs="宋体"/>
          <w:b w:val="0"/>
          <w:bCs w:val="0"/>
          <w:color w:val="000000"/>
          <w:sz w:val="24"/>
          <w:szCs w:val="24"/>
          <w:lang w:eastAsia="zh-CN"/>
        </w:rPr>
        <w:t xml:space="preserve">（此部分简洁表述即可）</w:t>
      </w:r>
      <w:r/>
    </w:p>
    <w:p>
      <w:pPr>
        <w:pStyle w:val="724"/>
        <w:ind w:left="0" w:firstLine="480"/>
        <w:jc w:val="both"/>
        <w:keepLines w:val="0"/>
        <w:keepNext w:val="0"/>
        <w:spacing w:before="0" w:beforeAutospacing="0" w:after="0" w:afterAutospacing="0" w:line="0" w:lineRule="atLeast"/>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（二）具体做法。包括但不限于总体安排、采取措施、工作手段、</w:t>
      </w:r>
      <w:r>
        <w:rPr>
          <w:rFonts w:hint="eastAsia" w:ascii="宋体" w:hAnsi="宋体" w:eastAsia="宋体" w:cs="宋体"/>
          <w:b w:val="0"/>
          <w:bCs w:val="0"/>
          <w:color w:val="000000"/>
          <w:sz w:val="24"/>
          <w:szCs w:val="24"/>
          <w:lang w:eastAsia="zh-CN"/>
        </w:rPr>
        <w:t xml:space="preserve">创新做法、</w:t>
      </w:r>
      <w:r>
        <w:rPr>
          <w:rFonts w:hint="eastAsia" w:ascii="宋体" w:hAnsi="宋体" w:eastAsia="宋体" w:cs="宋体"/>
          <w:b w:val="0"/>
          <w:bCs w:val="0"/>
          <w:color w:val="000000"/>
          <w:sz w:val="24"/>
          <w:szCs w:val="24"/>
        </w:rPr>
        <w:t xml:space="preserve">制度机制安排等。</w:t>
      </w:r>
      <w:r/>
    </w:p>
    <w:p>
      <w:pPr>
        <w:pStyle w:val="724"/>
        <w:ind w:left="0" w:firstLine="480"/>
        <w:jc w:val="both"/>
        <w:keepLines w:val="0"/>
        <w:keepNext w:val="0"/>
        <w:spacing w:before="0" w:beforeAutospacing="0" w:after="0" w:afterAutospacing="0" w:line="0" w:lineRule="atLeast"/>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（三）成效启示。介绍典型经验产生的效果和启示借鉴意义。</w:t>
      </w:r>
      <w:r/>
    </w:p>
    <w:p>
      <w:pPr>
        <w:pStyle w:val="724"/>
        <w:ind w:left="0" w:firstLine="480"/>
        <w:jc w:val="both"/>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五、有关要求</w:t>
      </w:r>
      <w:r/>
    </w:p>
    <w:p>
      <w:pPr>
        <w:pStyle w:val="724"/>
        <w:ind w:left="0" w:firstLine="482"/>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安全管理</w:t>
      </w:r>
      <w:r>
        <w:rPr>
          <w:rFonts w:hint="eastAsia" w:ascii="宋体" w:hAnsi="宋体" w:eastAsia="宋体" w:cs="宋体"/>
          <w:color w:val="000000"/>
          <w:sz w:val="24"/>
          <w:szCs w:val="24"/>
        </w:rPr>
        <w:t xml:space="preserve"> </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1、供应商必须严格遵守国家和地方关于劳动等法律法规及规章制度，按时发放项目服务人员薪金报酬待遇、为其缴纳劳动保险。项目组成员与中标服务机构存在劳动关系，与采购人不存在劳动关系。</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供应商必须严格遵守国家和地方关于劳动安全等法律法规及规章制度，制定严格的安全措施，加强安全监督管理，配备合格的劳动防护用品、安全用具，负责对项目服务人员进行培训、教育和管理，服务过程中所有安全责任、安全风险包括造成第三方人身伤害、财产损失均由中标服务机构自行承担，与采购人无关。</w:t>
      </w:r>
      <w:r/>
    </w:p>
    <w:p>
      <w:pPr>
        <w:pStyle w:val="724"/>
        <w:ind w:left="0" w:firstLine="482"/>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有关管理</w:t>
      </w:r>
      <w:r>
        <w:rPr>
          <w:rFonts w:hint="eastAsia" w:ascii="宋体" w:hAnsi="宋体" w:eastAsia="宋体" w:cs="宋体"/>
          <w:color w:val="000000"/>
          <w:sz w:val="24"/>
          <w:szCs w:val="24"/>
        </w:rPr>
        <w:t xml:space="preserve"> </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1、对于服务对象因特殊原因提出更换现场服务人员的合理要求，</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须无条件服从。</w:t>
      </w:r>
      <w:r/>
    </w:p>
    <w:p>
      <w:pPr>
        <w:pStyle w:val="724"/>
        <w:ind w:left="0" w:firstLine="42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2、在上级对本项目验收评审过程中，</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须积极配合甲方并无条件提供技术支持服务。</w:t>
      </w:r>
      <w:r/>
    </w:p>
    <w:p>
      <w:pPr>
        <w:pStyle w:val="724"/>
        <w:ind w:left="0" w:firstLine="480"/>
        <w:jc w:val="both"/>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六、其他要求</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1、企业业绩</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本项目涉及范围广、基层关注度高，要求供应商具备丰富的工作经验，以确保本项目按既定计划实施。</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2、项目组成员</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要求配备项目实施涉及的各类专业技能人才。</w:t>
      </w:r>
      <w:r/>
    </w:p>
    <w:p>
      <w:pPr>
        <w:pStyle w:val="724"/>
        <w:ind w:left="0" w:firstLine="48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3、服务方案</w:t>
      </w:r>
      <w:r/>
    </w:p>
    <w:p>
      <w:pPr>
        <w:pStyle w:val="724"/>
        <w:ind w:left="0" w:firstLine="48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供应商应根据本项目实际和采购文件要求，围绕项目目标，制定全面完整、具体详细、科学合理、切实可行的服务方案，内容如下：</w:t>
      </w:r>
      <w:r/>
    </w:p>
    <w:p>
      <w:pPr>
        <w:pStyle w:val="724"/>
        <w:ind w:left="0" w:firstLine="48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3.1组织指挥体系</w:t>
      </w:r>
      <w:r/>
    </w:p>
    <w:p>
      <w:pPr>
        <w:pStyle w:val="724"/>
        <w:ind w:left="0" w:firstLine="48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供应商应针对本项目实际，制订切实可行的组织指挥体系方案，内容包括但不限于组织指挥体系、组织机构设置、团队建设、各项管理制度、责任分工等方面。</w:t>
      </w:r>
      <w:r/>
    </w:p>
    <w:p>
      <w:pPr>
        <w:pStyle w:val="724"/>
        <w:ind w:left="0" w:firstLine="48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3.3居家养老上门服务方案</w:t>
      </w:r>
      <w:r/>
    </w:p>
    <w:p>
      <w:pPr>
        <w:pStyle w:val="724"/>
        <w:ind w:left="0" w:firstLine="48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供应商应针对本项目实际，制订切实可行的居家养老上门服务方案，内容包括但不限于医护人员上门服务、护理员上门服务、护工上门服务、家政上门服务内容、人员投入计划、岗位职责及保证措施等方面。</w:t>
      </w:r>
      <w:r/>
    </w:p>
    <w:p>
      <w:pPr>
        <w:pStyle w:val="724"/>
        <w:ind w:left="0" w:firstLine="48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rPr>
          <w:rFonts w:hint="eastAsia" w:cs="宋体"/>
          <w:color w:val="000000"/>
          <w:sz w:val="24"/>
          <w:szCs w:val="24"/>
          <w:lang w:val="en-US" w:eastAsia="zh-CN"/>
        </w:rPr>
        <w:t xml:space="preserve">3</w:t>
      </w:r>
      <w:r>
        <w:rPr>
          <w:rFonts w:hint="eastAsia" w:ascii="宋体" w:hAnsi="宋体" w:eastAsia="宋体" w:cs="宋体"/>
          <w:color w:val="000000"/>
          <w:sz w:val="24"/>
          <w:szCs w:val="24"/>
        </w:rPr>
        <w:t xml:space="preserve">服务人员管理及培训方案</w:t>
      </w:r>
      <w:r/>
    </w:p>
    <w:p>
      <w:pPr>
        <w:pStyle w:val="724"/>
        <w:ind w:left="0" w:firstLine="48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供应商应针对本项目实际，制订切实可行的服务人员管理及培训方案，内容包括但不限于服务人员管理制度、管理要求、培训目标、培训内容、培训时间、培训经费、培训考核等方面。</w:t>
      </w:r>
      <w:r/>
    </w:p>
    <w:p>
      <w:pPr>
        <w:pStyle w:val="724"/>
        <w:ind w:left="0" w:firstLine="48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rPr>
          <w:rFonts w:hint="eastAsia" w:cs="宋体"/>
          <w:color w:val="000000"/>
          <w:sz w:val="24"/>
          <w:szCs w:val="24"/>
          <w:lang w:val="en-US" w:eastAsia="zh-CN"/>
        </w:rPr>
        <w:t xml:space="preserve">4</w:t>
      </w:r>
      <w:r>
        <w:rPr>
          <w:rFonts w:hint="eastAsia" w:ascii="宋体" w:hAnsi="宋体" w:eastAsia="宋体" w:cs="宋体"/>
          <w:color w:val="000000"/>
          <w:sz w:val="24"/>
          <w:szCs w:val="24"/>
        </w:rPr>
        <w:t xml:space="preserve">保障制度及应急预案</w:t>
      </w:r>
      <w:r/>
    </w:p>
    <w:p>
      <w:pPr>
        <w:pStyle w:val="724"/>
        <w:ind w:left="0" w:firstLine="48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供应商应针对本项目实际，制订切实可行的保障制度及应急预案，内容包括但不限于紧急情况应急预案、重大事件处理措施、安全防控及保障措施等方面。</w:t>
      </w:r>
      <w:r/>
    </w:p>
    <w:p>
      <w:pPr>
        <w:pStyle w:val="724"/>
        <w:ind w:left="0" w:firstLine="48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rPr>
          <w:rFonts w:hint="eastAsia" w:cs="宋体"/>
          <w:color w:val="000000"/>
          <w:sz w:val="24"/>
          <w:szCs w:val="24"/>
          <w:lang w:val="en-US" w:eastAsia="zh-CN"/>
        </w:rPr>
        <w:t xml:space="preserve">5</w:t>
      </w:r>
      <w:r>
        <w:rPr>
          <w:rFonts w:hint="eastAsia" w:ascii="宋体" w:hAnsi="宋体" w:eastAsia="宋体" w:cs="宋体"/>
          <w:color w:val="000000"/>
          <w:sz w:val="24"/>
          <w:szCs w:val="24"/>
        </w:rPr>
        <w:t xml:space="preserve">信息化和档案管理</w:t>
      </w:r>
      <w:r/>
    </w:p>
    <w:p>
      <w:pPr>
        <w:pStyle w:val="724"/>
        <w:ind w:left="0" w:firstLine="48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应针对本项目实际，制订切实可行的信息化和档案管理方案，内容包括但不限于通过信息化系统和互联网手段，对居家养老上门服务全过程进行信息、数据留存，数据导入民政部“金民工程”全国养老服务信息管理系统“居家和社区基本养老服务提升行动项目”模块，接入</w:t>
      </w:r>
      <w:r>
        <w:rPr>
          <w:rFonts w:hint="eastAsia" w:ascii="宋体" w:hAnsi="宋体" w:eastAsia="宋体" w:cs="宋体"/>
          <w:color w:val="000000"/>
          <w:sz w:val="24"/>
          <w:szCs w:val="24"/>
          <w:lang w:eastAsia="zh-CN"/>
        </w:rPr>
        <w:t xml:space="preserve">县</w:t>
      </w:r>
      <w:r>
        <w:rPr>
          <w:rFonts w:hint="eastAsia" w:ascii="宋体" w:hAnsi="宋体" w:eastAsia="宋体" w:cs="宋体"/>
          <w:color w:val="000000"/>
          <w:sz w:val="24"/>
          <w:szCs w:val="24"/>
        </w:rPr>
        <w:t xml:space="preserve">智慧养老信息管理平台，以及服务档案管理等方面。</w:t>
      </w:r>
      <w:r/>
    </w:p>
    <w:p>
      <w:pPr>
        <w:pStyle w:val="724"/>
        <w:ind w:left="0" w:firstLine="482"/>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182" w:name="_Hlk198761552"/>
      <w:r>
        <w:rPr>
          <w:rFonts w:hint="eastAsia" w:ascii="宋体" w:hAnsi="宋体" w:eastAsia="宋体" w:cs="宋体"/>
          <w:b/>
          <w:bCs/>
          <w:color w:val="000000"/>
          <w:sz w:val="24"/>
          <w:szCs w:val="24"/>
        </w:rPr>
        <w:t xml:space="preserve">七、采购标的对应的中小企业划分标准所属行业一览表</w:t>
      </w:r>
      <w:bookmarkEnd w:id="182"/>
      <w:r/>
      <w:r/>
    </w:p>
    <w:tbl>
      <w:tblPr>
        <w:tblStyle w:val="705"/>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596"/>
        <w:gridCol w:w="4678"/>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24"/>
              <w:jc w:val="center"/>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724"/>
              <w:jc w:val="center"/>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24"/>
              <w:jc w:val="center"/>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对应中小企业划分标准所属行业</w:t>
            </w:r>
            <w:r/>
          </w:p>
        </w:tc>
      </w:tr>
      <w:tr>
        <w:trPr>
          <w:jc w:val="center"/>
          <w:tblCellSpacing w:w="0" w:type="dxa"/>
          <w:trHeight w:val="363"/>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24"/>
              <w:jc w:val="center"/>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724"/>
              <w:jc w:val="center"/>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333333"/>
                <w:sz w:val="24"/>
                <w:szCs w:val="24"/>
              </w:rPr>
              <w:t xml:space="preserve">养老服务</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24"/>
              <w:jc w:val="center"/>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333333"/>
                <w:sz w:val="24"/>
                <w:szCs w:val="24"/>
              </w:rPr>
              <w:t xml:space="preserve">其他未列明行业</w:t>
            </w:r>
            <w:r/>
          </w:p>
        </w:tc>
      </w:tr>
    </w:tbl>
    <w:p>
      <w:pPr>
        <w:pStyle w:val="724"/>
        <w:ind w:left="0" w:firstLine="48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根据《工业和信息化部、国家统计局、国家发展和改革委员会、财政部关于印发中小企业划型标准规定的通知》（工信部联企业[2011]300号）规定的划分标准填写。</w:t>
      </w:r>
      <w:r/>
    </w:p>
    <w:p>
      <w:pPr>
        <w:tabs>
          <w:tab w:val="left" w:pos="6200" w:leader="none"/>
        </w:tabs>
        <w:rPr>
          <w:rFonts w:hint="eastAsia" w:ascii="Arial" w:hAnsi="Arial" w:cs="Arial"/>
          <w:b/>
          <w:sz w:val="32"/>
          <w:szCs w:val="21"/>
        </w:rPr>
      </w:pPr>
      <w:r>
        <w:rPr>
          <w:rFonts w:hint="eastAsia" w:ascii="Arial" w:hAnsi="Arial" w:cs="Arial"/>
          <w:b/>
          <w:sz w:val="32"/>
          <w:szCs w:val="21"/>
        </w:rPr>
      </w:r>
      <w:r/>
    </w:p>
    <w:p>
      <w:pPr>
        <w:jc w:val="center"/>
        <w:keepNext/>
        <w:rPr>
          <w:rFonts w:hint="eastAsia" w:ascii="黑体" w:hAnsi="Times New Roman" w:eastAsia="黑体"/>
          <w:bCs/>
          <w:sz w:val="44"/>
          <w:szCs w:val="28"/>
        </w:rPr>
        <w:outlineLvl w:val="0"/>
      </w:pPr>
      <w:r/>
      <w:bookmarkStart w:id="183" w:name="_Toc120614281"/>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r/>
    </w:p>
    <w:p>
      <w:pPr>
        <w:rPr>
          <w:rFonts w:hint="eastAsia" w:ascii="Times New Roman" w:hAnsi="Times New Roman"/>
          <w:szCs w:val="21"/>
        </w:rPr>
      </w:pPr>
      <w:r>
        <w:rPr>
          <w:rFonts w:hint="eastAsia" w:ascii="Times New Roman" w:hAnsi="Times New Roman"/>
          <w:szCs w:val="21"/>
        </w:rPr>
      </w:r>
      <w:r/>
    </w:p>
    <w:p>
      <w:pPr>
        <w:ind w:firstLine="441"/>
        <w:jc w:val="left"/>
        <w:spacing w:before="120" w:after="120" w:line="360" w:lineRule="auto"/>
        <w:rPr>
          <w:rFonts w:hint="eastAsia" w:ascii="宋体" w:hAnsi="宋体"/>
          <w:b/>
          <w:sz w:val="24"/>
          <w:szCs w:val="24"/>
          <w:highlight w:val="yellow"/>
        </w:rPr>
      </w:pPr>
      <w:r>
        <w:rPr>
          <w:rFonts w:hint="eastAsia" w:ascii="宋体" w:hAnsi="宋体"/>
          <w:b/>
          <w:sz w:val="24"/>
          <w:szCs w:val="24"/>
        </w:rPr>
        <w:t xml:space="preserve">政府采购政策功能落实</w:t>
      </w:r>
      <w:r/>
    </w:p>
    <w:p>
      <w:pPr>
        <w:ind w:firstLine="480"/>
        <w:spacing w:line="360" w:lineRule="auto"/>
        <w:rPr>
          <w:rFonts w:ascii="Arial" w:hAnsi="Arial" w:cs="Arial"/>
          <w:color w:val="000000"/>
          <w:sz w:val="24"/>
        </w:rPr>
      </w:pPr>
      <w:r>
        <w:rPr>
          <w:rFonts w:hint="eastAsia" w:ascii="Arial" w:hAnsi="Arial" w:cs="Arial"/>
          <w:color w:val="000000"/>
          <w:sz w:val="24"/>
        </w:rPr>
        <w:t xml:space="preserve">1、本项目属于服务类采购。本项目为专门面向中小企业采购的项目（供应商投标时须提供《中小型企业声明函》，否则按无效处理）</w:t>
      </w:r>
      <w:r>
        <w:rPr>
          <w:rFonts w:hint="eastAsia" w:ascii="Arial" w:hAnsi="Arial" w:cs="Arial"/>
          <w:color w:val="000000"/>
          <w:sz w:val="24"/>
          <w:lang w:eastAsia="zh-CN"/>
        </w:rPr>
        <w:t xml:space="preserve">，中小企业划分属于其他未列明行业</w:t>
      </w:r>
      <w:r>
        <w:rPr>
          <w:rFonts w:hint="eastAsia" w:ascii="Arial" w:hAnsi="Arial" w:cs="Arial"/>
          <w:color w:val="000000"/>
          <w:sz w:val="24"/>
        </w:rPr>
        <w:t xml:space="preserve">。</w:t>
      </w:r>
      <w:r/>
    </w:p>
    <w:p>
      <w:pPr>
        <w:ind w:firstLine="480"/>
        <w:spacing w:line="360" w:lineRule="auto"/>
        <w:rPr>
          <w:rFonts w:hint="eastAsia" w:ascii="宋体" w:hAnsi="宋体" w:eastAsia="宋体"/>
          <w:sz w:val="24"/>
          <w:szCs w:val="24"/>
          <w:lang w:eastAsia="zh-CN"/>
        </w:rPr>
      </w:pPr>
      <w:r>
        <w:rPr>
          <w:rFonts w:hint="eastAsia" w:ascii="宋体" w:hAnsi="宋体"/>
          <w:b/>
          <w:bCs/>
          <w:sz w:val="24"/>
          <w:szCs w:val="24"/>
          <w:lang w:val="en-US" w:eastAsia="zh-CN"/>
        </w:rPr>
        <w:t xml:space="preserve">2、</w:t>
      </w:r>
      <w:r>
        <w:rPr>
          <w:rFonts w:hint="eastAsia" w:ascii="宋体" w:hAnsi="宋体"/>
          <w:sz w:val="24"/>
          <w:szCs w:val="24"/>
        </w:rPr>
        <w:t xml:space="preserve">残疾人福利单位需按照采购文件的要求提供《残疾人福利性单位声明函》</w:t>
      </w:r>
      <w:r>
        <w:rPr>
          <w:rFonts w:hint="eastAsia" w:ascii="宋体" w:hAnsi="宋体"/>
          <w:sz w:val="24"/>
          <w:szCs w:val="24"/>
          <w:lang w:eastAsia="zh-CN"/>
        </w:rPr>
        <w:t xml:space="preserve">。</w:t>
      </w:r>
      <w:r/>
    </w:p>
    <w:p>
      <w:pPr>
        <w:ind w:firstLine="480"/>
        <w:spacing w:line="360" w:lineRule="auto"/>
        <w:rPr>
          <w:rFonts w:hint="eastAsia" w:ascii="宋体" w:hAnsi="宋体"/>
          <w:sz w:val="24"/>
          <w:szCs w:val="24"/>
          <w:lang w:val="en-US" w:eastAsia="zh-CN"/>
        </w:rPr>
      </w:pPr>
      <w:r>
        <w:rPr>
          <w:rFonts w:hint="eastAsia" w:ascii="宋体" w:hAnsi="宋体"/>
          <w:b/>
          <w:bCs/>
          <w:sz w:val="24"/>
          <w:szCs w:val="24"/>
          <w:lang w:val="en-US" w:eastAsia="zh-CN"/>
        </w:rPr>
        <w:t xml:space="preserve">3、</w:t>
      </w:r>
      <w:r>
        <w:rPr>
          <w:rFonts w:hint="eastAsia" w:ascii="宋体" w:hAnsi="宋体"/>
          <w:sz w:val="24"/>
          <w:szCs w:val="24"/>
        </w:rPr>
        <w:t xml:space="preserve">监狱企业参加政府采购活动时，需提供由省级以上监狱管理局、戒毒管理局(含新疆生产建设兵团)出具的属于监狱企业的证明文件</w:t>
      </w:r>
      <w:r>
        <w:rPr>
          <w:rFonts w:hint="eastAsia" w:ascii="宋体" w:hAnsi="宋体"/>
          <w:sz w:val="24"/>
          <w:szCs w:val="24"/>
          <w:lang w:eastAsia="zh-CN"/>
        </w:rPr>
        <w:t xml:space="preserve">。</w:t>
      </w:r>
      <w:r/>
    </w:p>
    <w:p>
      <w:pPr>
        <w:ind w:firstLine="480"/>
        <w:spacing w:line="360" w:lineRule="auto"/>
        <w:rPr>
          <w:rFonts w:hint="eastAsia" w:ascii="宋体" w:hAnsi="宋体"/>
          <w:b/>
          <w:sz w:val="24"/>
          <w:szCs w:val="24"/>
        </w:rPr>
      </w:pPr>
      <w:r>
        <w:rPr>
          <w:rFonts w:hint="eastAsia" w:ascii="Arial" w:hAnsi="Arial" w:cs="Arial"/>
          <w:color w:val="000000"/>
          <w:sz w:val="24"/>
          <w:lang w:val="en-US" w:eastAsia="zh-CN"/>
        </w:rPr>
        <w:t xml:space="preserve">4</w:t>
      </w:r>
      <w:r>
        <w:rPr>
          <w:rFonts w:hint="eastAsia" w:ascii="Arial" w:hAnsi="Arial" w:cs="Arial"/>
          <w:color w:val="000000"/>
          <w:sz w:val="24"/>
        </w:rPr>
        <w:t xml:space="preserve">、严格执行政府采购关于支持</w:t>
      </w:r>
      <w:r>
        <w:rPr>
          <w:rFonts w:hint="eastAsia" w:ascii="Arial" w:hAnsi="Arial" w:cs="Arial"/>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jc w:val="left"/>
        <w:spacing w:before="120" w:after="120" w:line="0" w:lineRule="atLeast"/>
        <w:rPr>
          <w:rFonts w:hint="eastAsia" w:ascii="宋体" w:hAnsi="宋体"/>
          <w:b/>
          <w:sz w:val="24"/>
          <w:szCs w:val="24"/>
        </w:rPr>
      </w:pPr>
      <w:r>
        <w:rPr>
          <w:rFonts w:hint="eastAsia" w:ascii="宋体" w:hAnsi="宋体"/>
          <w:b/>
          <w:sz w:val="24"/>
          <w:szCs w:val="24"/>
        </w:rPr>
        <w:t xml:space="preserve">评审方法与评审标准</w:t>
      </w:r>
      <w:r/>
    </w:p>
    <w:tbl>
      <w:tblPr>
        <w:tblStyle w:val="705"/>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1276"/>
        <w:gridCol w:w="6662"/>
      </w:tblGrid>
      <w:tr>
        <w:trPr>
          <w:jc w:val="center"/>
          <w:tblCellSpacing w:w="0" w:type="dxa"/>
          <w:trHeight w:val="542"/>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4"/>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4"/>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评分分值</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724"/>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评分标准</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4"/>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报价部分</w:t>
            </w:r>
            <w:r/>
          </w:p>
          <w:p>
            <w:pPr>
              <w:pStyle w:val="724"/>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w:t>
            </w:r>
            <w:r>
              <w:rPr>
                <w:rFonts w:hint="eastAsia"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4"/>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724"/>
              <w:keepLines w:val="0"/>
              <w:keepNext w:val="0"/>
              <w:spacing w:before="0" w:beforeAutospacing="0" w:after="0" w:afterAutospacing="0"/>
              <w:widowControl/>
              <w:rPr>
                <w:rFonts w:hint="default"/>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1"/>
                <w:szCs w:val="21"/>
                <w:highlight w:val="none"/>
                <w:lang w:val="en-US" w:eastAsia="zh-CN"/>
              </w:rPr>
              <w:t xml:space="preserve">分包一、二为固定单价结算</w:t>
            </w:r>
            <w:r>
              <w:rPr>
                <w:rFonts w:hint="eastAsia" w:ascii="宋体" w:hAnsi="宋体" w:eastAsia="宋体" w:cs="宋体"/>
                <w:color w:val="000000"/>
                <w:sz w:val="21"/>
                <w:szCs w:val="21"/>
                <w:highlight w:val="none"/>
                <w:lang w:val="en-US" w:eastAsia="zh-CN"/>
              </w:rPr>
              <w:t xml:space="preserve">，</w:t>
            </w:r>
            <w:r>
              <w:rPr>
                <w:rFonts w:hint="eastAsia" w:cs="宋体"/>
                <w:color w:val="000000"/>
                <w:sz w:val="21"/>
                <w:szCs w:val="21"/>
                <w:highlight w:val="none"/>
                <w:lang w:val="en-US" w:eastAsia="zh-CN"/>
              </w:rPr>
              <w:t xml:space="preserve">各供应商系统内填写优惠率0%，磋商过程中多轮报价也填写优惠率0%。</w:t>
            </w:r>
            <w:r/>
          </w:p>
        </w:tc>
      </w:tr>
      <w:tr>
        <w:trPr>
          <w:jc w:val="center"/>
          <w:tblCellSpacing w:w="0" w:type="dxa"/>
          <w:trHeight w:val="969"/>
        </w:trPr>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pStyle w:val="724"/>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综合实力（</w:t>
            </w:r>
            <w:r>
              <w:rPr>
                <w:rFonts w:hint="eastAsia"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4"/>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业绩（</w:t>
            </w:r>
            <w:r>
              <w:rPr>
                <w:rFonts w:hint="eastAsia"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724"/>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自202</w:t>
            </w:r>
            <w:r>
              <w:rPr>
                <w:rFonts w:hint="eastAsia"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年1月1日（以合同签订时间为准）以来承担过类似业绩的，每有一项业绩得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分，本项最高得</w:t>
            </w:r>
            <w:r>
              <w:rPr>
                <w:rFonts w:hint="eastAsia"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分，投标时需提供合同原件扫描件加盖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公章，未提供不得分。</w:t>
            </w:r>
            <w:r/>
          </w:p>
        </w:tc>
      </w:tr>
      <w:tr>
        <w:trPr>
          <w:jc w:val="center"/>
          <w:tblCellSpacing w:w="0" w:type="dxa"/>
          <w:trHeight w:val="112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rPr>
                <w:rFonts w:hint="eastAsia" w:ascii="宋体"/>
                <w:sz w:val="24"/>
                <w:szCs w:val="24"/>
                <w:highlight w:val="none"/>
              </w:rPr>
            </w:pPr>
            <w:r>
              <w:rPr>
                <w:rFonts w:hint="eastAsia" w:asci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4"/>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项目负责人（</w:t>
            </w:r>
            <w:r>
              <w:rPr>
                <w:rFonts w:hint="eastAsia"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724"/>
              <w:keepLines w:val="0"/>
              <w:keepNext w:val="0"/>
              <w:spacing w:before="0" w:beforeAutospacing="0" w:after="0" w:afterAutospacing="0"/>
              <w:widowControl/>
              <w:rPr>
                <w:rFonts w:hint="eastAsia" w:ascii="宋体" w:hAnsi="宋体" w:eastAsia="宋体" w:cs="宋体"/>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项目负责人</w:t>
            </w:r>
            <w:r>
              <w:rPr>
                <w:rFonts w:hint="eastAsia" w:cs="宋体"/>
                <w:color w:val="000000"/>
                <w:sz w:val="21"/>
                <w:szCs w:val="21"/>
                <w:highlight w:val="none"/>
                <w:lang w:eastAsia="zh-CN"/>
              </w:rPr>
              <w:t xml:space="preserve">具有相关养老项目</w:t>
            </w:r>
            <w:r>
              <w:rPr>
                <w:rFonts w:hint="eastAsia" w:cs="宋体"/>
                <w:color w:val="000000"/>
                <w:sz w:val="21"/>
                <w:szCs w:val="21"/>
                <w:highlight w:val="none"/>
                <w:lang w:val="en-US" w:eastAsia="zh-CN"/>
              </w:rPr>
              <w:t xml:space="preserve">管理</w:t>
            </w:r>
            <w:r>
              <w:rPr>
                <w:rFonts w:hint="eastAsia" w:cs="宋体"/>
                <w:color w:val="000000"/>
                <w:sz w:val="21"/>
                <w:szCs w:val="21"/>
                <w:highlight w:val="none"/>
                <w:lang w:eastAsia="zh-CN"/>
              </w:rPr>
              <w:t xml:space="preserve">经验</w:t>
            </w:r>
            <w:r>
              <w:rPr>
                <w:rFonts w:hint="eastAsia" w:ascii="宋体" w:hAnsi="宋体" w:eastAsia="宋体" w:cs="宋体"/>
                <w:color w:val="000000"/>
                <w:sz w:val="21"/>
                <w:szCs w:val="21"/>
                <w:highlight w:val="none"/>
              </w:rPr>
              <w:t xml:space="preserve">：每满一年得1分，最高得3分；具有社会工作者</w:t>
            </w:r>
            <w:r>
              <w:rPr>
                <w:rFonts w:hint="eastAsia" w:cs="宋体"/>
                <w:color w:val="000000"/>
                <w:sz w:val="21"/>
                <w:szCs w:val="21"/>
                <w:highlight w:val="none"/>
                <w:lang w:eastAsia="zh-CN"/>
              </w:rPr>
              <w:t xml:space="preserve">国家职业资格，</w:t>
            </w:r>
            <w:r>
              <w:rPr>
                <w:rFonts w:hint="eastAsia" w:cs="宋体"/>
                <w:color w:val="000000"/>
                <w:sz w:val="21"/>
                <w:szCs w:val="21"/>
                <w:highlight w:val="none"/>
                <w:lang w:val="en-US" w:eastAsia="zh-CN"/>
              </w:rPr>
              <w:t xml:space="preserve">助理</w:t>
            </w:r>
            <w:r>
              <w:rPr>
                <w:rFonts w:hint="eastAsia" w:cs="宋体"/>
                <w:color w:val="000000"/>
                <w:sz w:val="21"/>
                <w:szCs w:val="21"/>
                <w:highlight w:val="none"/>
                <w:lang w:eastAsia="zh-CN"/>
              </w:rPr>
              <w:t xml:space="preserve">社会工作师及其以上级别的得</w:t>
            </w:r>
            <w:r>
              <w:rPr>
                <w:rFonts w:hint="eastAsia"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分。本条最高得</w:t>
            </w:r>
            <w:r>
              <w:rPr>
                <w:rFonts w:hint="eastAsia"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pStyle w:val="724"/>
              <w:keepLines w:val="0"/>
              <w:keepNext w:val="0"/>
              <w:spacing w:before="0" w:beforeAutospacing="0" w:after="0" w:afterAutospacing="0"/>
              <w:widowControl/>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1"/>
                <w:szCs w:val="21"/>
                <w:highlight w:val="none"/>
                <w:lang w:eastAsia="zh-CN"/>
              </w:rPr>
              <w:t xml:space="preserve">提供国家职业资格证书及从事相应实际工作经验证明（能体验项目负责人参与的合同或业主评价证明等文件）及近</w:t>
            </w:r>
            <w:r>
              <w:rPr>
                <w:rFonts w:hint="eastAsia" w:cs="宋体"/>
                <w:color w:val="000000"/>
                <w:sz w:val="21"/>
                <w:szCs w:val="21"/>
                <w:highlight w:val="none"/>
                <w:lang w:val="en-US" w:eastAsia="zh-CN"/>
              </w:rPr>
              <w:t xml:space="preserve">1个月在本单位缴纳的社保记录或社保承诺函</w:t>
            </w:r>
            <w:r/>
          </w:p>
        </w:tc>
      </w:tr>
      <w:tr>
        <w:trPr>
          <w:jc w:val="center"/>
          <w:tblCellSpacing w:w="0" w:type="dxa"/>
          <w:trHeight w:val="557"/>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rPr>
                <w:rFonts w:hint="eastAsia" w:ascii="宋体"/>
                <w:sz w:val="24"/>
                <w:szCs w:val="24"/>
                <w:highlight w:val="none"/>
              </w:rPr>
            </w:pPr>
            <w:r>
              <w:rPr>
                <w:rFonts w:hint="eastAsia" w:asci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4"/>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项目组成员（</w:t>
            </w:r>
            <w:r>
              <w:rPr>
                <w:rFonts w:hint="eastAsia"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724"/>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项目组成员</w:t>
            </w:r>
            <w:r>
              <w:rPr>
                <w:rFonts w:hint="eastAsia" w:ascii="宋体" w:hAnsi="宋体" w:eastAsia="宋体" w:cs="宋体"/>
                <w:color w:val="000000"/>
                <w:sz w:val="21"/>
                <w:szCs w:val="21"/>
                <w:highlight w:val="none"/>
                <w:lang w:eastAsia="zh-CN"/>
              </w:rPr>
              <w:t xml:space="preserve">不含项目负责人</w:t>
            </w:r>
            <w:r>
              <w:rPr>
                <w:rFonts w:hint="eastAsia" w:ascii="宋体" w:hAnsi="宋体" w:eastAsia="宋体" w:cs="宋体"/>
                <w:color w:val="000000"/>
                <w:sz w:val="21"/>
                <w:szCs w:val="21"/>
                <w:highlight w:val="none"/>
              </w:rPr>
              <w:t xml:space="preserve">具有医生、护士</w:t>
            </w:r>
            <w:r>
              <w:rPr>
                <w:rFonts w:hint="eastAsia"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每有</w:t>
            </w:r>
            <w:r>
              <w:rPr>
                <w:rFonts w:hint="eastAsia" w:ascii="宋体" w:hAnsi="宋体" w:eastAsia="宋体" w:cs="宋体"/>
                <w:color w:val="000000"/>
                <w:sz w:val="21"/>
                <w:szCs w:val="21"/>
                <w:highlight w:val="none"/>
                <w:lang w:val="en-US" w:eastAsia="zh-CN"/>
              </w:rPr>
              <w:t xml:space="preserve">1类职业资格的得2分，本条最高得</w:t>
            </w:r>
            <w:r>
              <w:rPr>
                <w:rFonts w:hint="eastAsia"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p>
          <w:p>
            <w:pPr>
              <w:pStyle w:val="724"/>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具有</w:t>
            </w:r>
            <w:r>
              <w:rPr>
                <w:rFonts w:hint="eastAsia" w:ascii="宋体" w:hAnsi="宋体" w:eastAsia="宋体" w:cs="宋体"/>
                <w:color w:val="000000"/>
                <w:sz w:val="21"/>
                <w:szCs w:val="21"/>
                <w:highlight w:val="none"/>
              </w:rPr>
              <w:t xml:space="preserve">健康管理师、养老护理员、老年人能力评估师</w:t>
            </w:r>
            <w:r>
              <w:rPr>
                <w:rFonts w:hint="eastAsia" w:cs="宋体"/>
                <w:color w:val="000000"/>
                <w:sz w:val="21"/>
                <w:szCs w:val="21"/>
                <w:highlight w:val="none"/>
                <w:lang w:eastAsia="zh-CN"/>
              </w:rPr>
              <w:t xml:space="preserve">、</w:t>
            </w:r>
            <w:r>
              <w:rPr>
                <w:rFonts w:hint="eastAsia" w:cs="宋体"/>
                <w:b w:val="0"/>
                <w:bCs w:val="0"/>
                <w:color w:val="auto"/>
                <w:sz w:val="21"/>
                <w:szCs w:val="21"/>
                <w:highlight w:val="none"/>
                <w:lang w:val="en-US" w:eastAsia="zh-CN"/>
              </w:rPr>
              <w:t xml:space="preserve">心理咨询师和康复治疗师</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每有</w:t>
            </w:r>
            <w:r>
              <w:rPr>
                <w:rFonts w:hint="eastAsia" w:ascii="宋体" w:hAnsi="宋体" w:eastAsia="宋体" w:cs="宋体"/>
                <w:color w:val="000000"/>
                <w:sz w:val="21"/>
                <w:szCs w:val="21"/>
                <w:highlight w:val="none"/>
                <w:lang w:val="en-US" w:eastAsia="zh-CN"/>
              </w:rPr>
              <w:t xml:space="preserve">1类技能人员的得1分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本条最高得</w:t>
            </w:r>
            <w:r>
              <w:rPr>
                <w:rFonts w:hint="eastAsia"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分；</w:t>
            </w:r>
            <w:r/>
          </w:p>
          <w:p>
            <w:pPr>
              <w:pStyle w:val="724"/>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同1人只计分1次，</w:t>
            </w:r>
            <w:r>
              <w:rPr>
                <w:rFonts w:hint="eastAsia" w:ascii="宋体" w:hAnsi="宋体" w:eastAsia="宋体" w:cs="宋体"/>
                <w:color w:val="000000"/>
                <w:sz w:val="21"/>
                <w:szCs w:val="21"/>
                <w:highlight w:val="none"/>
                <w:lang w:eastAsia="zh-CN"/>
              </w:rPr>
              <w:t xml:space="preserve">第一类需提</w:t>
            </w:r>
            <w:r>
              <w:rPr>
                <w:rFonts w:hint="eastAsia" w:cs="宋体"/>
                <w:color w:val="000000"/>
                <w:sz w:val="21"/>
                <w:szCs w:val="21"/>
                <w:highlight w:val="none"/>
                <w:lang w:eastAsia="zh-CN"/>
              </w:rPr>
              <w:t xml:space="preserve">供对应国家职业资格证书、第二类需提供职业技能证书，所有成员提供本单位近</w:t>
            </w:r>
            <w:r>
              <w:rPr>
                <w:rFonts w:hint="eastAsia" w:cs="宋体"/>
                <w:color w:val="000000"/>
                <w:sz w:val="21"/>
                <w:szCs w:val="21"/>
                <w:highlight w:val="none"/>
                <w:lang w:val="en-US" w:eastAsia="zh-CN"/>
              </w:rPr>
              <w:t xml:space="preserve">1个月社保缴纳记录或社保承诺函，同一人有多本证书的只计算一种</w:t>
            </w:r>
            <w:r/>
          </w:p>
        </w:tc>
      </w:tr>
      <w:tr>
        <w:trPr>
          <w:jc w:val="center"/>
          <w:tblCellSpacing w:w="0" w:type="dxa"/>
          <w:trHeight w:val="678"/>
        </w:trPr>
        <w:tc>
          <w:tcPr>
            <w:tcBorders>
              <w:top w:val="single" w:color="000000" w:sz="4" w:space="0"/>
              <w:left w:val="single" w:color="000000" w:sz="4" w:space="0"/>
              <w:right w:val="single" w:color="000000" w:sz="4" w:space="0"/>
            </w:tcBorders>
            <w:tcW w:w="1129" w:type="dxa"/>
            <w:vAlign w:val="center"/>
            <w:vMerge w:val="restart"/>
            <w:textDirection w:val="lrTb"/>
            <w:noWrap w:val="false"/>
          </w:tcPr>
          <w:p>
            <w:pPr>
              <w:pStyle w:val="724"/>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eastAsia="zh-CN"/>
              </w:rPr>
              <w:t xml:space="preserve">技术</w:t>
            </w:r>
            <w:r>
              <w:rPr>
                <w:rFonts w:hint="eastAsia" w:ascii="宋体" w:hAnsi="宋体" w:eastAsia="宋体" w:cs="宋体"/>
                <w:color w:val="000000"/>
                <w:sz w:val="21"/>
                <w:szCs w:val="21"/>
                <w:highlight w:val="none"/>
              </w:rPr>
              <w:t xml:space="preserve">方案（</w:t>
            </w:r>
            <w:r>
              <w:rPr>
                <w:rFonts w:hint="eastAsia" w:cs="宋体"/>
                <w:color w:val="000000"/>
                <w:sz w:val="21"/>
                <w:szCs w:val="21"/>
                <w:highlight w:val="none"/>
                <w:lang w:val="en-US" w:eastAsia="zh-CN"/>
              </w:rPr>
              <w:t xml:space="preserve">60</w:t>
            </w:r>
            <w:r>
              <w:rPr>
                <w:rFonts w:hint="eastAsia" w:ascii="宋体" w:hAnsi="宋体" w:eastAsia="宋体" w:cs="宋体"/>
                <w:color w:val="000000"/>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4"/>
              <w:keepLines w:val="0"/>
              <w:keepNext w:val="0"/>
              <w:spacing w:before="0" w:beforeAutospacing="0" w:after="0" w:afterAutospacing="0"/>
              <w:widowControl/>
              <w:rPr>
                <w:rFonts w:hint="eastAsia" w:eastAsia="宋体"/>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组织指挥体系</w:t>
            </w:r>
            <w:r>
              <w:rPr>
                <w:rFonts w:hint="eastAsia" w:ascii="宋体" w:hAnsi="宋体" w:eastAsia="宋体" w:cs="宋体"/>
                <w:color w:val="000000"/>
                <w:sz w:val="21"/>
                <w:szCs w:val="21"/>
                <w:highlight w:val="none"/>
                <w:lang w:val="en-US" w:eastAsia="zh-CN"/>
              </w:rPr>
              <w:t xml:space="preserve">（12分）</w:t>
            </w:r>
            <w:r/>
          </w:p>
        </w:tc>
        <w:tc>
          <w:tcPr>
            <w:tcBorders>
              <w:top w:val="single" w:color="000000" w:sz="4" w:space="0"/>
              <w:left w:val="single" w:color="000000" w:sz="4" w:space="0"/>
              <w:right w:val="single" w:color="000000" w:sz="4" w:space="0"/>
            </w:tcBorders>
            <w:tcW w:w="6662" w:type="dxa"/>
            <w:vAlign w:val="center"/>
            <w:textDirection w:val="lrTb"/>
            <w:noWrap w:val="false"/>
          </w:tcPr>
          <w:p>
            <w:pPr>
              <w:pStyle w:val="724"/>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提供细致完整、科学合理、针对性和操作性强的组织指挥体系方案，内容至少包括组织指挥体系、组织机构设置、团队建设、各项管理制度、责任分工等方面。优于项目需求得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分，满足项目需求得</w:t>
            </w:r>
            <w:r>
              <w:rPr>
                <w:rFonts w:hint="eastAsia"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分，内容不全面或存在缺陷的得</w:t>
            </w:r>
            <w:r>
              <w:rPr>
                <w:rFonts w:hint="eastAsia"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分，未提供的不得分。</w:t>
            </w:r>
            <w:r/>
          </w:p>
        </w:tc>
      </w:tr>
      <w:tr>
        <w:trPr>
          <w:jc w:val="center"/>
          <w:tblCellSpacing w:w="0" w:type="dxa"/>
          <w:trHeight w:val="653"/>
        </w:trPr>
        <w:tc>
          <w:tcPr>
            <w:tcBorders>
              <w:left w:val="single" w:color="000000" w:sz="4" w:space="0"/>
              <w:right w:val="single" w:color="000000" w:sz="4" w:space="0"/>
            </w:tcBorders>
            <w:tcW w:w="1129" w:type="dxa"/>
            <w:vAlign w:val="center"/>
            <w:vMerge w:val="continue"/>
            <w:textDirection w:val="lrTb"/>
            <w:noWrap w:val="false"/>
          </w:tcPr>
          <w:p>
            <w:pPr>
              <w:pStyle w:val="724"/>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4"/>
              <w:ind w:left="0" w:right="0"/>
              <w:keepLines w:val="0"/>
              <w:keepNext w:val="0"/>
              <w:spacing w:before="0" w:beforeAutospacing="0" w:after="0" w:afterAutospacing="0"/>
              <w:widowControl/>
              <w:rPr>
                <w:rFonts w:hint="eastAsia" w:eastAsia="宋体"/>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居家养老上门服务方案（</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p>
        </w:tc>
        <w:tc>
          <w:tcPr>
            <w:tcBorders>
              <w:left w:val="single" w:color="000000" w:sz="4" w:space="0"/>
              <w:right w:val="single" w:color="000000" w:sz="4" w:space="0"/>
            </w:tcBorders>
            <w:tcW w:w="6662" w:type="dxa"/>
            <w:vAlign w:val="center"/>
            <w:textDirection w:val="lrTb"/>
            <w:noWrap w:val="false"/>
          </w:tcPr>
          <w:p>
            <w:pPr>
              <w:pStyle w:val="724"/>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提供细致完整、科学合理、分析透彻、措施有力、针对性和操作性强的居家养老上门服务方案，内容至少包括医护人员上门服务、护理员上门服务、护工上门服务、家政上门服务内容、人员投入计划、岗位职责及保证措施等方面。优于项目需求得</w:t>
            </w:r>
            <w:r>
              <w:rPr>
                <w:rFonts w:hint="eastAsia"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分，满足项目需求得</w:t>
            </w:r>
            <w:r>
              <w:rPr>
                <w:rFonts w:hint="eastAsia"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分，内容不全面或存在缺陷的得</w:t>
            </w:r>
            <w:r>
              <w:rPr>
                <w:rFonts w:hint="eastAsia"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分，未提供的不得分。</w:t>
            </w:r>
            <w:r/>
          </w:p>
        </w:tc>
      </w:tr>
      <w:tr>
        <w:trPr>
          <w:jc w:val="center"/>
          <w:tblCellSpacing w:w="0" w:type="dxa"/>
          <w:trHeight w:val="653"/>
        </w:trPr>
        <w:tc>
          <w:tcPr>
            <w:tcBorders>
              <w:left w:val="single" w:color="000000" w:sz="4" w:space="0"/>
              <w:right w:val="single" w:color="000000" w:sz="4" w:space="0"/>
            </w:tcBorders>
            <w:tcW w:w="1129" w:type="dxa"/>
            <w:vAlign w:val="center"/>
            <w:vMerge w:val="continue"/>
            <w:textDirection w:val="lrTb"/>
            <w:noWrap w:val="false"/>
          </w:tcPr>
          <w:p>
            <w:pPr>
              <w:pStyle w:val="724"/>
              <w:keepLines w:val="0"/>
              <w:keepNext w:val="0"/>
              <w:spacing w:before="0" w:beforeAutospacing="0" w:after="0" w:afterAutospacing="0"/>
              <w:widowControl/>
              <w:rPr>
                <w:rFonts w:hint="default" w:eastAsia="宋体"/>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eastAsia="宋体"/>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4"/>
              <w:ind w:left="0" w:right="0"/>
              <w:keepLines w:val="0"/>
              <w:keepNext w:val="0"/>
              <w:spacing w:before="0" w:beforeAutospacing="0" w:after="0" w:afterAutospacing="0"/>
              <w:widowControl/>
              <w:rPr>
                <w:rFonts w:hint="eastAsia" w:eastAsia="宋体"/>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服务人员管理及培训方案（</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p>
        </w:tc>
        <w:tc>
          <w:tcPr>
            <w:tcBorders>
              <w:left w:val="single" w:color="000000" w:sz="4" w:space="0"/>
              <w:right w:val="single" w:color="000000" w:sz="4" w:space="0"/>
            </w:tcBorders>
            <w:tcW w:w="6662" w:type="dxa"/>
            <w:vAlign w:val="center"/>
            <w:textDirection w:val="lrTb"/>
            <w:noWrap w:val="false"/>
          </w:tcPr>
          <w:p>
            <w:pPr>
              <w:pStyle w:val="724"/>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提供细致完整、科学合理、分析透彻、措施有力、针对性和操作性强的服务人员管理及培训方案，内容至少包括服务人员管理制度、管理要求、培训目标、培训内容、培训时间、培训经费、培训考核等方面。优于项目需求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分，满足项目需求得</w:t>
            </w:r>
            <w:r>
              <w:rPr>
                <w:rFonts w:hint="eastAsia"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分，内容不全面或存在缺陷的得</w:t>
            </w:r>
            <w:r>
              <w:rPr>
                <w:rFonts w:hint="eastAsia"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分，未提供的不得分。</w:t>
            </w:r>
            <w:r/>
          </w:p>
        </w:tc>
      </w:tr>
      <w:tr>
        <w:trPr>
          <w:jc w:val="center"/>
          <w:tblCellSpacing w:w="0" w:type="dxa"/>
          <w:trHeight w:val="888"/>
        </w:trPr>
        <w:tc>
          <w:tcPr>
            <w:tcBorders>
              <w:left w:val="single" w:color="000000" w:sz="4" w:space="0"/>
              <w:right w:val="single" w:color="000000" w:sz="4" w:space="0"/>
            </w:tcBorders>
            <w:tcW w:w="1129" w:type="dxa"/>
            <w:vAlign w:val="center"/>
            <w:vMerge w:val="continue"/>
            <w:textDirection w:val="lrTb"/>
            <w:noWrap w:val="false"/>
          </w:tcPr>
          <w:p>
            <w:pPr>
              <w:pStyle w:val="724"/>
              <w:keepLines w:val="0"/>
              <w:keepNext w:val="0"/>
              <w:spacing w:before="0" w:beforeAutospacing="0" w:after="0" w:afterAutospacing="0"/>
              <w:widowControl/>
              <w:rPr>
                <w:rFonts w:hint="default" w:eastAsia="宋体"/>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eastAsia="宋体"/>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4"/>
              <w:ind w:left="0" w:right="0"/>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保障制度及应急预案（</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p>
          <w:p>
            <w:pPr>
              <w:pStyle w:val="724"/>
              <w:keepLines w:val="0"/>
              <w:keepNext w:val="0"/>
              <w:spacing w:before="0" w:beforeAutospacing="0" w:after="0" w:afterAutospacing="0"/>
              <w:widowControl/>
              <w:rPr>
                <w:rFonts w:hint="default" w:eastAsia="宋体"/>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eastAsia="宋体"/>
                <w:highlight w:val="none"/>
                <w:lang w:val="en-US" w:eastAsia="zh-CN"/>
              </w:rPr>
            </w:r>
            <w:r/>
          </w:p>
        </w:tc>
        <w:tc>
          <w:tcPr>
            <w:tcBorders>
              <w:left w:val="single" w:color="000000" w:sz="4" w:space="0"/>
              <w:right w:val="single" w:color="000000" w:sz="4" w:space="0"/>
            </w:tcBorders>
            <w:tcW w:w="6662" w:type="dxa"/>
            <w:vAlign w:val="center"/>
            <w:textDirection w:val="lrTb"/>
            <w:noWrap w:val="false"/>
          </w:tcPr>
          <w:p>
            <w:pPr>
              <w:pStyle w:val="724"/>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提供细致完整、科学合理、分析透彻、措施有力、针对性和操作性强的保障制度及应急预案，内容至少包括紧急情况应急预案、重大事件处理措施、安全防控及保障措施等方面。优于项目需求得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分，满足项目需求得</w:t>
            </w:r>
            <w:r>
              <w:rPr>
                <w:rFonts w:hint="eastAsia"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分，内容不全面或存在缺陷的得</w:t>
            </w:r>
            <w:r>
              <w:rPr>
                <w:rFonts w:hint="eastAsia"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分，未提供的不得分。</w:t>
            </w:r>
            <w:r/>
          </w:p>
        </w:tc>
      </w:tr>
      <w:tr>
        <w:trPr>
          <w:jc w:val="center"/>
          <w:tblCellSpacing w:w="0" w:type="dxa"/>
          <w:trHeight w:val="653"/>
        </w:trPr>
        <w:tc>
          <w:tcPr>
            <w:tcBorders>
              <w:left w:val="single" w:color="000000" w:sz="4" w:space="0"/>
              <w:bottom w:val="single" w:color="000000" w:sz="4" w:space="0"/>
              <w:right w:val="single" w:color="000000" w:sz="4" w:space="0"/>
            </w:tcBorders>
            <w:tcW w:w="1129" w:type="dxa"/>
            <w:vAlign w:val="center"/>
            <w:vMerge w:val="continue"/>
            <w:textDirection w:val="lrTb"/>
            <w:noWrap w:val="false"/>
          </w:tcPr>
          <w:p>
            <w:pPr>
              <w:pStyle w:val="724"/>
              <w:keepLines w:val="0"/>
              <w:keepNext w:val="0"/>
              <w:spacing w:before="0" w:beforeAutospacing="0" w:after="0" w:afterAutospacing="0"/>
              <w:widowControl/>
              <w:rPr>
                <w:rFonts w:hint="default" w:eastAsia="宋体"/>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eastAsia="宋体"/>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4"/>
              <w:ind w:left="0" w:right="0"/>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信息化和档案管理（</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p>
          <w:p>
            <w:pPr>
              <w:pStyle w:val="724"/>
              <w:keepLines w:val="0"/>
              <w:keepNext w:val="0"/>
              <w:spacing w:before="0" w:beforeAutospacing="0" w:after="0" w:afterAutospacing="0"/>
              <w:widowControl/>
              <w:rPr>
                <w:rFonts w:hint="default" w:eastAsia="宋体"/>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eastAsia="宋体"/>
                <w:highlight w:val="none"/>
                <w:lang w:val="en-US" w:eastAsia="zh-CN"/>
              </w:rPr>
            </w:r>
            <w:r/>
          </w:p>
        </w:tc>
        <w:tc>
          <w:tcPr>
            <w:tcBorders>
              <w:left w:val="single" w:color="000000" w:sz="4" w:space="0"/>
              <w:bottom w:val="single" w:color="000000" w:sz="4" w:space="0"/>
              <w:right w:val="single" w:color="000000" w:sz="4" w:space="0"/>
            </w:tcBorders>
            <w:tcW w:w="6662" w:type="dxa"/>
            <w:vAlign w:val="center"/>
            <w:textDirection w:val="lrTb"/>
            <w:noWrap w:val="false"/>
          </w:tcPr>
          <w:p>
            <w:pPr>
              <w:pStyle w:val="724"/>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提供细致完整、科学合理、分析透彻、措施有力、针对性和操作性强的信息化和档案管理方案，包括但不限于通过信息化系统和互联网手段，对居家养老上门服务全过程进行信息、数据留存，数据导入民政部“金民工程”全国养老服务信息管理系统“居家和社区基本养老服务提升行动项目”模块，接入</w:t>
            </w:r>
            <w:r>
              <w:rPr>
                <w:rFonts w:hint="eastAsia" w:ascii="宋体" w:hAnsi="宋体" w:eastAsia="宋体" w:cs="宋体"/>
                <w:color w:val="000000"/>
                <w:sz w:val="21"/>
                <w:szCs w:val="21"/>
                <w:highlight w:val="none"/>
                <w:lang w:eastAsia="zh-CN"/>
              </w:rPr>
              <w:t xml:space="preserve">县</w:t>
            </w:r>
            <w:r>
              <w:rPr>
                <w:rFonts w:hint="eastAsia" w:ascii="宋体" w:hAnsi="宋体" w:eastAsia="宋体" w:cs="宋体"/>
                <w:color w:val="000000"/>
                <w:sz w:val="21"/>
                <w:szCs w:val="21"/>
                <w:highlight w:val="none"/>
              </w:rPr>
              <w:t xml:space="preserve">智慧养老信息管理平台，以及服务档案管理等方面。优于项目需求得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分，满足项目需求得</w:t>
            </w:r>
            <w:r>
              <w:rPr>
                <w:rFonts w:hint="eastAsia"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分，内容不全面或存在缺陷的得</w:t>
            </w:r>
            <w:r>
              <w:rPr>
                <w:rFonts w:hint="eastAsia"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分，未提供的不得分。</w:t>
            </w:r>
            <w:r/>
          </w:p>
        </w:tc>
      </w:tr>
    </w:tbl>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ascii="黑体" w:hAnsi="Times New Roman" w:eastAsia="黑体"/>
          <w:bCs/>
          <w:sz w:val="44"/>
          <w:szCs w:val="28"/>
        </w:rPr>
        <w:outlineLvl w:val="0"/>
      </w:pPr>
      <w:r>
        <w:rPr>
          <w:rFonts w:ascii="黑体" w:hAnsi="Times New Roman" w:eastAsia="黑体"/>
          <w:bCs/>
          <w:sz w:val="44"/>
          <w:szCs w:val="28"/>
        </w:rPr>
      </w:r>
      <w:r/>
    </w:p>
    <w:p>
      <w:pPr>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80"/>
      <w:r/>
      <w:bookmarkEnd w:id="181"/>
      <w:r/>
      <w:bookmarkEnd w:id="183"/>
      <w:r>
        <w:rPr>
          <w:rFonts w:hint="eastAsia" w:ascii="黑体" w:hAnsi="Times New Roman" w:eastAsia="黑体"/>
          <w:bCs/>
          <w:sz w:val="44"/>
          <w:szCs w:val="28"/>
        </w:rPr>
        <w:t xml:space="preserve">响应文件格式 </w:t>
      </w:r>
      <w:r/>
    </w:p>
    <w:p>
      <w:pPr>
        <w:jc w:val="center"/>
        <w:rPr>
          <w:rFonts w:hint="eastAsia" w:ascii="宋体" w:hAnsi="宋体"/>
          <w:b/>
          <w:sz w:val="72"/>
          <w:szCs w:val="21"/>
        </w:rPr>
      </w:pPr>
      <w:r/>
      <w:bookmarkStart w:id="184" w:name="_Hlt26671244"/>
      <w:r/>
      <w:bookmarkEnd w:id="184"/>
      <w:r/>
      <w:bookmarkStart w:id="185" w:name="_Hlt26955039"/>
      <w:r/>
      <w:bookmarkEnd w:id="185"/>
      <w:r/>
      <w:bookmarkStart w:id="186" w:name="_Toc26554094"/>
      <w:r/>
      <w:bookmarkStart w:id="187" w:name="_Toc120614282"/>
      <w:r/>
      <w:bookmarkStart w:id="188" w:name="_Toc4909057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ind w:firstLine="1084"/>
        <w:rPr>
          <w:rFonts w:ascii="宋体" w:hAnsi="宋体"/>
          <w:b/>
          <w:bCs/>
          <w:sz w:val="32"/>
          <w:szCs w:val="32"/>
        </w:rPr>
      </w:pPr>
      <w:r>
        <w:rPr>
          <w:rFonts w:ascii="宋体" w:hAnsi="宋体"/>
          <w:b/>
          <w:sz w:val="36"/>
          <w:szCs w:val="21"/>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rPr>
          <w:rFonts w:hint="eastAsia" w:ascii="宋体" w:hAnsi="宋体"/>
          <w:i/>
          <w:sz w:val="24"/>
          <w:szCs w:val="21"/>
          <w:u w:val="single"/>
        </w:rPr>
      </w:pPr>
      <w:r>
        <w:rPr>
          <w:rFonts w:hint="eastAsia" w:ascii="宋体" w:hAnsi="宋体"/>
          <w:i/>
          <w:sz w:val="24"/>
          <w:szCs w:val="21"/>
          <w:u w:val="single"/>
        </w:rPr>
        <w:t xml:space="preserve">一、法人或者其他组织的营业执照等证明文件，自然人的身份证明</w:t>
      </w:r>
      <w:r/>
    </w:p>
    <w:p>
      <w:pPr>
        <w:ind w:left="480"/>
        <w:rPr>
          <w:rFonts w:hint="eastAsia" w:ascii="宋体" w:hAnsi="宋体"/>
          <w:i/>
          <w:sz w:val="24"/>
          <w:szCs w:val="21"/>
          <w:u w:val="single"/>
        </w:rPr>
      </w:pPr>
      <w:r>
        <w:rPr>
          <w:rFonts w:hint="eastAsia" w:ascii="宋体" w:hAnsi="宋体"/>
          <w:i/>
          <w:sz w:val="24"/>
          <w:szCs w:val="21"/>
          <w:u w:val="single"/>
        </w:rPr>
        <w:t xml:space="preserve">二、上一年度的财务状况报告（磋商供应商成立不满一年无需提供）</w:t>
      </w:r>
      <w:r/>
    </w:p>
    <w:p>
      <w:pPr>
        <w:ind w:left="480"/>
        <w:rPr>
          <w:rFonts w:hint="eastAsia" w:ascii="宋体" w:hAnsi="宋体"/>
          <w:i/>
          <w:sz w:val="24"/>
          <w:szCs w:val="21"/>
          <w:u w:val="single"/>
        </w:rPr>
      </w:pPr>
      <w:r>
        <w:rPr>
          <w:rFonts w:hint="eastAsia" w:ascii="宋体" w:hAnsi="宋体"/>
          <w:i/>
          <w:sz w:val="24"/>
          <w:szCs w:val="21"/>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Pr>
          <w:rFonts w:hint="eastAsia" w:ascii="宋体" w:hAnsi="宋体"/>
          <w:i/>
          <w:sz w:val="24"/>
          <w:szCs w:val="21"/>
          <w:u w:val="single"/>
        </w:rPr>
      </w:pPr>
      <w:r>
        <w:rPr>
          <w:rFonts w:hint="eastAsia" w:ascii="宋体" w:hAnsi="宋体"/>
          <w:i/>
          <w:sz w:val="24"/>
          <w:szCs w:val="21"/>
          <w:u w:val="single"/>
        </w:rPr>
        <w:t xml:space="preserve">四、具备履行合同所必需的设备和专业技术能力的书面声明</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五、参加政府采购活动前 3 年内在经营活动中没有重大违法记录的书面声明</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六、特定资格要求的证明文件（如果本项目设置特定资格要求，则需要提供）</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七、法人授权书</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八、磋商响应函</w:t>
      </w:r>
      <w:r/>
    </w:p>
    <w:p>
      <w:pPr>
        <w:ind w:firstLine="480"/>
        <w:spacing w:line="440" w:lineRule="exact"/>
        <w:rPr>
          <w:rFonts w:hint="eastAsia" w:ascii="宋体" w:hAnsi="宋体"/>
          <w:sz w:val="24"/>
          <w:szCs w:val="21"/>
        </w:rPr>
      </w:pPr>
      <w:r>
        <w:rPr>
          <w:rFonts w:hint="eastAsia" w:ascii="宋体" w:hAnsi="宋体"/>
          <w:sz w:val="24"/>
          <w:szCs w:val="21"/>
        </w:rPr>
        <w:t xml:space="preserve">九、小微企业声明函</w:t>
      </w:r>
      <w:r/>
    </w:p>
    <w:p>
      <w:pPr>
        <w:ind w:firstLine="480"/>
        <w:spacing w:line="440" w:lineRule="exact"/>
        <w:rPr>
          <w:rFonts w:hint="eastAsia" w:ascii="宋体" w:hAnsi="宋体"/>
          <w:sz w:val="24"/>
          <w:szCs w:val="21"/>
        </w:rPr>
      </w:pPr>
      <w:r>
        <w:rPr>
          <w:rFonts w:hint="eastAsia" w:ascii="宋体" w:hAnsi="宋体"/>
          <w:sz w:val="24"/>
          <w:szCs w:val="21"/>
        </w:rPr>
        <w:t xml:space="preserve">十、残疾人福利性单位声明函</w:t>
      </w:r>
      <w:r/>
    </w:p>
    <w:p>
      <w:pPr>
        <w:ind w:firstLine="480"/>
        <w:spacing w:line="440" w:lineRule="exact"/>
        <w:rPr>
          <w:rFonts w:hint="eastAsia" w:ascii="宋体" w:hAnsi="宋体"/>
          <w:sz w:val="24"/>
          <w:szCs w:val="21"/>
        </w:rPr>
      </w:pPr>
      <w:r>
        <w:rPr>
          <w:rFonts w:hint="eastAsia" w:ascii="宋体" w:hAnsi="宋体"/>
          <w:sz w:val="24"/>
          <w:szCs w:val="21"/>
        </w:rPr>
        <w:t xml:space="preserve">十一、联合体协议</w:t>
      </w:r>
      <w:r/>
    </w:p>
    <w:p>
      <w:pPr>
        <w:ind w:firstLine="480"/>
        <w:spacing w:line="44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eastAsia="zh-CN"/>
        </w:rPr>
        <w:t xml:space="preserve">二</w:t>
      </w:r>
      <w:r>
        <w:rPr>
          <w:rFonts w:hint="eastAsia" w:ascii="宋体" w:hAnsi="宋体"/>
          <w:sz w:val="24"/>
          <w:szCs w:val="21"/>
        </w:rPr>
        <w:t xml:space="preserve">、初次报价表</w:t>
      </w:r>
      <w:r/>
    </w:p>
    <w:p>
      <w:pPr>
        <w:ind w:firstLine="480"/>
        <w:spacing w:line="44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eastAsia="zh-CN"/>
        </w:rPr>
        <w:t xml:space="preserve">三</w:t>
      </w:r>
      <w:r>
        <w:rPr>
          <w:rFonts w:hint="eastAsia" w:ascii="宋体" w:hAnsi="宋体"/>
          <w:sz w:val="24"/>
          <w:szCs w:val="21"/>
        </w:rPr>
        <w:t xml:space="preserve">、投入人员表</w:t>
      </w:r>
      <w:r/>
    </w:p>
    <w:p>
      <w:pPr>
        <w:ind w:firstLine="480"/>
        <w:spacing w:line="44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eastAsia="zh-CN"/>
        </w:rPr>
        <w:t xml:space="preserve">四</w:t>
      </w:r>
      <w:r>
        <w:rPr>
          <w:rFonts w:hint="eastAsia" w:ascii="宋体" w:hAnsi="宋体"/>
          <w:sz w:val="24"/>
          <w:szCs w:val="21"/>
        </w:rPr>
        <w:t xml:space="preserve">、类似业绩表</w:t>
      </w:r>
      <w:r/>
    </w:p>
    <w:p>
      <w:pPr>
        <w:ind w:firstLine="480"/>
        <w:spacing w:line="44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eastAsia="zh-CN"/>
        </w:rPr>
        <w:t xml:space="preserve">五</w:t>
      </w:r>
      <w:r>
        <w:rPr>
          <w:rFonts w:hint="eastAsia" w:ascii="宋体" w:hAnsi="宋体"/>
          <w:sz w:val="24"/>
          <w:szCs w:val="21"/>
        </w:rPr>
        <w:t xml:space="preserve">、商务部分所需其他资料</w:t>
      </w:r>
      <w:r/>
    </w:p>
    <w:p>
      <w:pPr>
        <w:ind w:firstLine="480"/>
        <w:spacing w:line="44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eastAsia="zh-CN"/>
        </w:rPr>
        <w:t xml:space="preserve">六</w:t>
      </w:r>
      <w:r>
        <w:rPr>
          <w:rFonts w:hint="eastAsia" w:ascii="宋体" w:hAnsi="宋体"/>
          <w:sz w:val="24"/>
          <w:szCs w:val="21"/>
        </w:rPr>
        <w:t xml:space="preserve">、服务方案</w:t>
      </w:r>
      <w:r/>
    </w:p>
    <w:p>
      <w:pPr>
        <w:ind w:firstLine="480"/>
        <w:spacing w:line="44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eastAsia="zh-CN"/>
        </w:rPr>
        <w:t xml:space="preserve">七</w:t>
      </w:r>
      <w:r>
        <w:rPr>
          <w:rFonts w:hint="eastAsia" w:ascii="宋体" w:hAnsi="宋体"/>
          <w:sz w:val="24"/>
          <w:szCs w:val="21"/>
        </w:rPr>
        <w:t xml:space="preserve">、响水县政府采购事前信用承诺书</w:t>
      </w:r>
      <w:r/>
    </w:p>
    <w:p>
      <w:pPr>
        <w:ind w:firstLine="480"/>
        <w:spacing w:line="440" w:lineRule="exact"/>
        <w:rPr>
          <w:rFonts w:ascii="宋体" w:hAnsi="宋体"/>
          <w:i/>
          <w:sz w:val="24"/>
          <w:szCs w:val="21"/>
          <w:u w:val="single"/>
        </w:rPr>
      </w:pPr>
      <w:r>
        <w:rPr>
          <w:rFonts w:ascii="宋体" w:hAnsi="宋体"/>
          <w:i/>
          <w:sz w:val="24"/>
          <w:szCs w:val="21"/>
          <w:u w:val="single"/>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供应商成立不满一年无需提供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rPr>
          <w:rFonts w:hint="eastAsia" w:ascii="Times New Roman" w:hAnsi="Times New Roman"/>
          <w:szCs w:val="21"/>
          <w:lang w:val="en-US" w:eastAsia="en-US"/>
        </w:rPr>
      </w:pPr>
      <w:r>
        <w:rPr>
          <w:rFonts w:hint="eastAsia" w:ascii="Times New Roman" w:hAnsi="Times New Roman"/>
          <w:szCs w:val="21"/>
          <w:lang w:val="en-US" w:eastAsia="en-US"/>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bookmarkEnd w:id="186"/>
      <w:r/>
      <w:bookmarkEnd w:id="187"/>
      <w:r/>
      <w:bookmarkEnd w:id="188"/>
      <w:r/>
      <w:r/>
    </w:p>
    <w:p>
      <w:pPr>
        <w:spacing w:line="460" w:lineRule="exact"/>
        <w:rPr>
          <w:rFonts w:hint="eastAsia" w:ascii="宋体" w:hAnsi="宋体"/>
          <w:bCs/>
          <w:sz w:val="24"/>
          <w:szCs w:val="21"/>
        </w:rPr>
      </w:pPr>
      <w:r/>
      <w:bookmarkStart w:id="189" w:name="_Toc120614284"/>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1200"/>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90" w:name="_Hlt26671380"/>
      <w:r/>
      <w:bookmarkEnd w:id="190"/>
      <w:r/>
      <w:bookmarkStart w:id="191" w:name="_Hlt26955070"/>
      <w:r/>
      <w:bookmarkEnd w:id="191"/>
      <w:r/>
      <w:bookmarkStart w:id="192" w:name="_格式3__银行出具的资信证明"/>
      <w:r/>
      <w:bookmarkEnd w:id="192"/>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20"/>
        <w:rPr>
          <w:rFonts w:hint="eastAsia" w:ascii="Times New Roman" w:hAnsi="Times New Roman"/>
          <w:i/>
          <w:sz w:val="24"/>
          <w:szCs w:val="24"/>
          <w:u w:val="single"/>
          <w:lang w:val="en-US" w:eastAsia="en-US"/>
        </w:rPr>
      </w:pPr>
      <w:r>
        <w:rPr>
          <w:rFonts w:hint="eastAsia" w:ascii="Times New Roman" w:hAnsi="Times New Roman"/>
          <w:i/>
          <w:sz w:val="24"/>
          <w:szCs w:val="24"/>
          <w:u w:val="single"/>
          <w:lang w:val="en-US" w:eastAsia="en-US"/>
        </w:rPr>
      </w:r>
      <w:r/>
    </w:p>
    <w:p>
      <w:pPr>
        <w:rPr>
          <w:rFonts w:hint="eastAsia" w:ascii="Times New Roman" w:hAnsi="Times New Roman"/>
          <w:szCs w:val="21"/>
          <w:lang w:val="en-US" w:eastAsia="en-US"/>
        </w:rPr>
      </w:pPr>
      <w:r>
        <w:rPr>
          <w:rFonts w:hint="eastAsia" w:ascii="Times New Roman" w:hAnsi="Times New Roman"/>
          <w:szCs w:val="21"/>
          <w:lang w:val="en-US" w:eastAsia="en-US"/>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磋商响应函</w:t>
      </w:r>
      <w:r/>
    </w:p>
    <w:p>
      <w:pPr>
        <w:jc w:val="left"/>
        <w:spacing w:line="420" w:lineRule="exact"/>
        <w:rPr>
          <w:rFonts w:ascii="宋体" w:hAnsi="宋体"/>
          <w:sz w:val="24"/>
          <w:szCs w:val="21"/>
        </w:rPr>
      </w:pPr>
      <w:r>
        <w:rPr>
          <w:rFonts w:hint="eastAsia" w:ascii="宋体" w:hAnsi="宋体"/>
          <w:sz w:val="24"/>
          <w:szCs w:val="21"/>
        </w:rPr>
        <w:t xml:space="preserve">致：江苏省政府采购中心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九、小微企业声明函（服务）（分包号：**）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十一、联合体协议（参考格式）（分包号：**）</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rPr>
          <w:rFonts w:hint="eastAsia" w:ascii="黑体" w:hAnsi="黑体" w:eastAsia="黑体"/>
          <w:b/>
          <w:sz w:val="32"/>
          <w:szCs w:val="32"/>
        </w:rPr>
      </w:pPr>
      <w:r>
        <w:rPr>
          <w:rFonts w:hint="eastAsia" w:ascii="黑体" w:hAnsi="黑体" w:eastAsia="黑体"/>
          <w:b/>
          <w:sz w:val="32"/>
          <w:szCs w:val="32"/>
        </w:rPr>
      </w:r>
      <w:r/>
    </w:p>
    <w:p>
      <w:pPr>
        <w:numPr>
          <w:ilvl w:val="0"/>
          <w:numId w:val="7"/>
        </w:numPr>
        <w:jc w:val="center"/>
        <w:rPr>
          <w:rFonts w:hint="eastAsia" w:ascii="黑体" w:hAnsi="宋体" w:eastAsia="黑体"/>
          <w:bCs/>
          <w:sz w:val="32"/>
          <w:szCs w:val="32"/>
        </w:rPr>
      </w:pPr>
      <w:r>
        <w:rPr>
          <w:rFonts w:hint="eastAsia" w:ascii="黑体" w:hAnsi="宋体" w:eastAsia="黑体"/>
          <w:bCs/>
          <w:sz w:val="32"/>
          <w:szCs w:val="32"/>
        </w:rPr>
        <w:t xml:space="preserve">投入本项目人员一览表</w:t>
      </w:r>
      <w:r/>
    </w:p>
    <w:p>
      <w:pPr>
        <w:pStyle w:val="927"/>
        <w:ind w:firstLine="0"/>
        <w:jc w:val="center"/>
        <w:rPr>
          <w:rFonts w:hint="eastAsia" w:ascii="黑体" w:hAnsi="宋体" w:eastAsia="黑体"/>
          <w:bCs/>
          <w:sz w:val="32"/>
          <w:szCs w:val="32"/>
          <w:lang w:val="zh-CN"/>
        </w:rPr>
      </w:pPr>
      <w:r>
        <w:rPr>
          <w:rFonts w:hint="eastAsia"/>
          <w:lang w:val="zh-CN"/>
        </w:rPr>
        <w:t xml:space="preserve">（一）</w:t>
      </w:r>
      <w:r/>
    </w:p>
    <w:tbl>
      <w:tblPr>
        <w:tblStyle w:val="705"/>
        <w:tblW w:w="88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12"/>
        <w:gridCol w:w="709"/>
        <w:gridCol w:w="709"/>
        <w:gridCol w:w="708"/>
        <w:gridCol w:w="926"/>
        <w:gridCol w:w="1294"/>
        <w:gridCol w:w="1484"/>
        <w:gridCol w:w="1545"/>
      </w:tblGrid>
      <w:tr>
        <w:trPr>
          <w:jc w:val="center"/>
          <w:trHeight w:val="1114"/>
        </w:trPr>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993"/>
              <w:jc w:val="center"/>
              <w:spacing w:line="357" w:lineRule="atLeast"/>
              <w:rPr>
                <w:rStyle w:val="994"/>
                <w:rFonts w:ascii="宋体" w:hAnsi="宋体"/>
                <w:szCs w:val="21"/>
              </w:rPr>
            </w:pPr>
            <w:r>
              <w:rPr>
                <w:rStyle w:val="994"/>
                <w:rFonts w:ascii="宋体" w:hAnsi="宋体"/>
                <w:szCs w:val="21"/>
              </w:rPr>
              <w:t xml:space="preserve">拟任岗位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Style w:val="994"/>
                <w:rFonts w:ascii="宋体" w:hAnsi="宋体"/>
                <w:szCs w:val="21"/>
              </w:rPr>
              <w:t xml:space="preserve">姓名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Style w:val="994"/>
                <w:rFonts w:ascii="宋体" w:hAnsi="宋体"/>
                <w:szCs w:val="21"/>
              </w:rPr>
              <w:t xml:space="preserve">年龄</w:t>
            </w:r>
            <w:r/>
          </w:p>
        </w:tc>
        <w:tc>
          <w:tcPr>
            <w:tcBorders>
              <w:top w:val="single" w:color="000000" w:sz="4" w:space="0"/>
              <w:left w:val="single" w:color="000000" w:sz="4" w:space="0"/>
              <w:right w:val="single" w:color="000000" w:sz="4" w:space="0"/>
            </w:tcBorders>
            <w:tcW w:w="708" w:type="dxa"/>
            <w:vAlign w:val="center"/>
            <w:textDirection w:val="lrTb"/>
            <w:noWrap w:val="false"/>
          </w:tcPr>
          <w:p>
            <w:pPr>
              <w:pStyle w:val="993"/>
              <w:jc w:val="center"/>
              <w:spacing w:line="357" w:lineRule="atLeast"/>
              <w:rPr>
                <w:rStyle w:val="994"/>
                <w:rFonts w:ascii="宋体" w:hAnsi="宋体"/>
                <w:szCs w:val="21"/>
              </w:rPr>
            </w:pPr>
            <w:r>
              <w:rPr>
                <w:rStyle w:val="994"/>
                <w:rFonts w:hint="eastAsia" w:ascii="宋体" w:hAnsi="宋体"/>
                <w:szCs w:val="21"/>
              </w:rPr>
              <w:t xml:space="preserve">专业</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93"/>
              <w:jc w:val="center"/>
              <w:spacing w:line="357" w:lineRule="atLeast"/>
              <w:rPr>
                <w:rStyle w:val="994"/>
                <w:rFonts w:ascii="宋体" w:hAnsi="宋体"/>
                <w:szCs w:val="21"/>
              </w:rPr>
            </w:pPr>
            <w:r>
              <w:rPr>
                <w:rStyle w:val="994"/>
                <w:rFonts w:ascii="宋体" w:hAnsi="宋体"/>
                <w:szCs w:val="21"/>
              </w:rPr>
              <w:t xml:space="preserve">职称</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993"/>
              <w:jc w:val="center"/>
              <w:spacing w:line="357" w:lineRule="atLeast"/>
              <w:rPr>
                <w:rStyle w:val="994"/>
                <w:rFonts w:ascii="宋体" w:hAnsi="宋体"/>
                <w:szCs w:val="21"/>
              </w:rPr>
            </w:pPr>
            <w:r>
              <w:rPr>
                <w:rStyle w:val="994"/>
                <w:rFonts w:ascii="宋体" w:hAnsi="宋体"/>
                <w:szCs w:val="21"/>
              </w:rPr>
              <w:t xml:space="preserve">从事工作年限</w:t>
            </w:r>
            <w:r/>
          </w:p>
        </w:tc>
        <w:tc>
          <w:tcPr>
            <w:tcBorders>
              <w:top w:val="single" w:color="000000" w:sz="4" w:space="0"/>
              <w:left w:val="single" w:color="000000" w:sz="4" w:space="0"/>
              <w:right w:val="single" w:color="000000" w:sz="4" w:space="0"/>
            </w:tcBorders>
            <w:tcW w:w="1484" w:type="dxa"/>
            <w:vAlign w:val="center"/>
            <w:textDirection w:val="lrTb"/>
            <w:noWrap w:val="false"/>
          </w:tcPr>
          <w:p>
            <w:pPr>
              <w:pStyle w:val="993"/>
              <w:jc w:val="center"/>
              <w:spacing w:line="357" w:lineRule="atLeast"/>
              <w:rPr>
                <w:rStyle w:val="994"/>
                <w:rFonts w:ascii="宋体" w:hAnsi="宋体"/>
                <w:szCs w:val="21"/>
              </w:rPr>
            </w:pPr>
            <w:r>
              <w:rPr>
                <w:rStyle w:val="994"/>
                <w:rFonts w:ascii="宋体" w:hAnsi="宋体"/>
                <w:szCs w:val="21"/>
              </w:rPr>
              <w:t xml:space="preserve">身份证号</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93"/>
              <w:jc w:val="center"/>
              <w:spacing w:line="357" w:lineRule="atLeast"/>
              <w:rPr>
                <w:rStyle w:val="994"/>
                <w:rFonts w:ascii="宋体" w:hAnsi="宋体"/>
                <w:szCs w:val="21"/>
              </w:rPr>
            </w:pPr>
            <w:r>
              <w:rPr>
                <w:rStyle w:val="994"/>
                <w:rFonts w:ascii="宋体" w:hAnsi="宋体"/>
                <w:szCs w:val="21"/>
              </w:rPr>
              <w:t xml:space="preserve">手机号</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r>
      <w:tr>
        <w:trPr>
          <w:jc w:val="center"/>
          <w:trHeight w:val="870" w:hRule="exact"/>
        </w:trPr>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993"/>
              <w:jc w:val="center"/>
              <w:spacing w:line="357" w:lineRule="atLeast"/>
              <w:rPr>
                <w:rStyle w:val="994"/>
                <w:rFonts w:ascii="宋体" w:hAnsi="宋体"/>
                <w:szCs w:val="21"/>
              </w:rPr>
            </w:pPr>
            <w:r>
              <w:rPr>
                <w:rStyle w:val="994"/>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Style w:val="994"/>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93"/>
              <w:jc w:val="center"/>
              <w:spacing w:line="357" w:lineRule="atLeast"/>
              <w:rPr>
                <w:rStyle w:val="994"/>
                <w:rFonts w:ascii="宋体" w:hAnsi="宋体"/>
                <w:szCs w:val="21"/>
              </w:rPr>
            </w:pPr>
            <w:r>
              <w:rPr>
                <w:rFonts w:ascii="宋体" w:hAnsi="宋体"/>
                <w:szCs w:val="21"/>
              </w:rPr>
            </w:r>
            <w:r/>
          </w:p>
        </w:tc>
      </w:tr>
    </w:tbl>
    <w:p>
      <w:pPr>
        <w:jc w:val="center"/>
        <w:rPr>
          <w:rFonts w:ascii="宋体" w:hAnsi="宋体"/>
          <w:sz w:val="24"/>
          <w:szCs w:val="24"/>
        </w:rPr>
      </w:pPr>
      <w:r>
        <w:rPr>
          <w:rFonts w:ascii="宋体" w:hAnsi="宋体"/>
          <w:sz w:val="24"/>
          <w:szCs w:val="24"/>
        </w:rPr>
      </w:r>
      <w:r/>
    </w:p>
    <w:p>
      <w:pPr>
        <w:ind w:right="1560" w:firstLine="624"/>
        <w:jc w:val="right"/>
        <w:spacing w:line="588" w:lineRule="exact"/>
        <w:tabs>
          <w:tab w:val="left" w:pos="4860" w:leader="none"/>
        </w:tabs>
        <w:rPr>
          <w:rFonts w:ascii="宋体" w:hAnsi="宋体"/>
          <w:sz w:val="24"/>
          <w:szCs w:val="21"/>
        </w:rPr>
      </w:pPr>
      <w:r>
        <w:rPr>
          <w:rFonts w:hint="eastAsia" w:ascii="宋体" w:hAnsi="宋体"/>
          <w:sz w:val="24"/>
          <w:szCs w:val="21"/>
        </w:rPr>
        <w:t xml:space="preserve">供应商全称（加盖CA电子公章）：</w:t>
      </w:r>
      <w:r/>
    </w:p>
    <w:p>
      <w:pPr>
        <w:ind w:right="1560" w:firstLine="480"/>
        <w:jc w:val="right"/>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r>
      <w:r/>
    </w:p>
    <w:p>
      <w:pPr>
        <w:jc w:val="left"/>
        <w:rPr>
          <w:rFonts w:ascii="宋体" w:hAnsi="宋体"/>
          <w:sz w:val="24"/>
          <w:szCs w:val="24"/>
        </w:rPr>
      </w:pPr>
      <w:r>
        <w:rPr>
          <w:rFonts w:hint="eastAsia" w:ascii="宋体" w:hAnsi="宋体"/>
          <w:sz w:val="24"/>
          <w:szCs w:val="24"/>
        </w:rPr>
        <w:t xml:space="preserve">注： 行数不够，可自行添加。</w:t>
      </w:r>
      <w:r/>
    </w:p>
    <w:p>
      <w:pP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both"/>
        <w:rPr>
          <w:rFonts w:hint="eastAsia" w:ascii="宋体" w:hAnsi="宋体" w:cs="仿宋"/>
          <w:b/>
          <w:bCs/>
          <w:sz w:val="32"/>
          <w:szCs w:val="32"/>
        </w:rPr>
      </w:pPr>
      <w:r>
        <w:rPr>
          <w:rFonts w:hint="eastAsia" w:ascii="宋体" w:hAnsi="宋体" w:cs="仿宋"/>
          <w:b/>
          <w:bCs/>
          <w:sz w:val="32"/>
          <w:szCs w:val="32"/>
        </w:rPr>
      </w:r>
      <w:r/>
    </w:p>
    <w:p>
      <w:pPr>
        <w:pStyle w:val="927"/>
        <w:ind w:firstLine="0"/>
        <w:jc w:val="center"/>
        <w:rPr>
          <w:lang w:val="zh-CN"/>
        </w:rPr>
      </w:pPr>
      <w:r>
        <w:rPr>
          <w:rFonts w:hint="eastAsia"/>
          <w:lang w:val="zh-CN"/>
        </w:rPr>
        <w:t xml:space="preserve">（二）</w:t>
      </w:r>
      <w:r/>
    </w:p>
    <w:p>
      <w:pPr>
        <w:jc w:val="center"/>
        <w:spacing w:line="400" w:lineRule="exact"/>
        <w:rPr>
          <w:rFonts w:ascii="宋体" w:hAnsi="宋体"/>
          <w:b/>
          <w:sz w:val="28"/>
          <w:szCs w:val="30"/>
        </w:rPr>
      </w:pPr>
      <w:r>
        <w:rPr>
          <w:rFonts w:hint="eastAsia" w:ascii="宋体" w:hAnsi="宋体" w:cs="宋体"/>
          <w:sz w:val="24"/>
        </w:rPr>
        <w:t xml:space="preserve">人员相应评分标准中所述证明等材料</w:t>
      </w:r>
      <w:r/>
    </w:p>
    <w:p>
      <w:pPr>
        <w:jc w:val="center"/>
        <w:rPr>
          <w:rFonts w:ascii="黑体" w:hAnsi="Arial" w:eastAsia="黑体"/>
          <w:b/>
          <w:sz w:val="36"/>
          <w:szCs w:val="21"/>
        </w:rPr>
      </w:pPr>
      <w:r>
        <w:rPr>
          <w:rFonts w:ascii="黑体" w:hAnsi="Arial" w:eastAsia="黑体"/>
          <w:b/>
          <w:sz w:val="36"/>
          <w:szCs w:val="21"/>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spacing w:line="420" w:lineRule="exact"/>
        <w:tabs>
          <w:tab w:val="left" w:pos="1320" w:leader="none"/>
        </w:tabs>
        <w:rPr>
          <w:rFonts w:ascii="宋体" w:hAnsi="宋体"/>
          <w:b/>
          <w:bCs/>
          <w:sz w:val="30"/>
          <w:szCs w:val="30"/>
        </w:rPr>
        <w:outlineLvl w:val="1"/>
      </w:pPr>
      <w:r>
        <w:rPr>
          <w:rFonts w:hint="eastAsia" w:ascii="黑体" w:hAnsi="黑体" w:eastAsia="黑体"/>
          <w:b/>
          <w:sz w:val="32"/>
          <w:szCs w:val="32"/>
        </w:rPr>
        <w:t xml:space="preserve">十三、</w:t>
      </w:r>
      <w:r>
        <w:rPr>
          <w:rFonts w:hint="eastAsia" w:ascii="宋体" w:hAnsi="宋体"/>
          <w:b/>
          <w:bCs/>
          <w:sz w:val="30"/>
          <w:szCs w:val="30"/>
        </w:rPr>
        <w:t xml:space="preserve">类似业绩表</w:t>
      </w:r>
      <w:r/>
    </w:p>
    <w:p>
      <w:pPr>
        <w:pStyle w:val="697"/>
        <w:jc w:val="center"/>
        <w:rPr>
          <w:sz w:val="24"/>
          <w:szCs w:val="24"/>
        </w:rPr>
      </w:pPr>
      <w:r>
        <w:rPr>
          <w:rFonts w:hint="eastAsia"/>
          <w:sz w:val="24"/>
          <w:szCs w:val="24"/>
        </w:rPr>
        <w:t xml:space="preserve">（一）</w:t>
      </w:r>
      <w:r/>
    </w:p>
    <w:p>
      <w:pPr>
        <w:jc w:val="center"/>
        <w:spacing w:line="400" w:lineRule="exact"/>
        <w:rPr>
          <w:rFonts w:ascii="宋体" w:hAnsi="宋体"/>
          <w:b/>
          <w:sz w:val="28"/>
          <w:szCs w:val="30"/>
        </w:rPr>
      </w:pPr>
      <w:r>
        <w:rPr>
          <w:rFonts w:ascii="宋体" w:hAnsi="宋体"/>
          <w:b/>
          <w:sz w:val="28"/>
          <w:szCs w:val="30"/>
        </w:rPr>
      </w:r>
      <w:r/>
    </w:p>
    <w:tbl>
      <w:tblPr>
        <w:tblStyle w:val="705"/>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2439" w:type="dxa"/>
            <w:vAlign w:val="center"/>
            <w:textDirection w:val="lrTb"/>
            <w:noWrap w:val="false"/>
          </w:tcPr>
          <w:p>
            <w:pPr>
              <w:jc w:val="center"/>
              <w:rPr>
                <w:rFonts w:ascii="宋体" w:hAnsi="宋体" w:cs="宋体"/>
                <w:sz w:val="24"/>
              </w:rPr>
            </w:pPr>
            <w:r>
              <w:rPr>
                <w:rFonts w:hint="eastAsia" w:ascii="宋体" w:hAnsi="宋体" w:cs="宋体"/>
                <w:sz w:val="24"/>
              </w:rPr>
              <w:t xml:space="preserve">项目名称</w:t>
            </w:r>
            <w:r/>
          </w:p>
        </w:tc>
        <w:tc>
          <w:tcPr>
            <w:tcW w:w="2135" w:type="dxa"/>
            <w:vAlign w:val="center"/>
            <w:textDirection w:val="lrTb"/>
            <w:noWrap w:val="false"/>
          </w:tcPr>
          <w:p>
            <w:pPr>
              <w:jc w:val="center"/>
              <w:rPr>
                <w:rFonts w:ascii="宋体" w:hAnsi="宋体" w:cs="宋体"/>
                <w:sz w:val="24"/>
              </w:rPr>
            </w:pPr>
            <w:r>
              <w:rPr>
                <w:rFonts w:hint="eastAsia" w:ascii="宋体" w:hAnsi="宋体" w:cs="宋体"/>
                <w:sz w:val="24"/>
              </w:rPr>
              <w:t xml:space="preserve">签订时间</w:t>
            </w:r>
            <w:r/>
          </w:p>
        </w:tc>
        <w:tc>
          <w:tcPr>
            <w:tcW w:w="1358" w:type="dxa"/>
            <w:vAlign w:val="center"/>
            <w:textDirection w:val="lrTb"/>
            <w:noWrap w:val="false"/>
          </w:tcPr>
          <w:p>
            <w:pPr>
              <w:jc w:val="center"/>
              <w:rPr>
                <w:rFonts w:ascii="宋体" w:hAnsi="宋体" w:cs="宋体"/>
                <w:sz w:val="24"/>
              </w:rPr>
            </w:pPr>
            <w:r>
              <w:rPr>
                <w:rFonts w:hint="eastAsia" w:ascii="宋体" w:hAnsi="宋体" w:cs="宋体"/>
                <w:sz w:val="24"/>
              </w:rPr>
              <w:t xml:space="preserve">服务单位</w:t>
            </w:r>
            <w:r/>
          </w:p>
        </w:tc>
        <w:tc>
          <w:tcPr>
            <w:tcW w:w="2418" w:type="dxa"/>
            <w:vAlign w:val="center"/>
            <w:textDirection w:val="lrTb"/>
            <w:noWrap w:val="false"/>
          </w:tcPr>
          <w:p>
            <w:pPr>
              <w:jc w:val="center"/>
              <w:rPr>
                <w:rFonts w:ascii="宋体" w:hAnsi="宋体" w:cs="宋体"/>
                <w:sz w:val="24"/>
              </w:rPr>
            </w:pPr>
            <w:r>
              <w:rPr>
                <w:rFonts w:hint="eastAsia" w:ascii="宋体" w:hAnsi="宋体" w:cs="宋体"/>
                <w:sz w:val="24"/>
              </w:rPr>
              <w:t xml:space="preserve">合同金额（或改造户数）</w:t>
            </w:r>
            <w:r/>
          </w:p>
        </w:tc>
      </w:tr>
      <w:tr>
        <w:trPr>
          <w:jc w:val="center"/>
          <w:trHeight w:val="753"/>
        </w:trPr>
        <w:tc>
          <w:tcPr>
            <w:tcW w:w="1014" w:type="dxa"/>
            <w:vAlign w:val="center"/>
            <w:textDirection w:val="lrTb"/>
            <w:noWrap w:val="false"/>
          </w:tcPr>
          <w:p>
            <w:pPr>
              <w:jc w:val="center"/>
              <w:rPr>
                <w:rFonts w:ascii="宋体" w:hAnsi="宋体" w:cs="宋体"/>
                <w:sz w:val="24"/>
              </w:rPr>
            </w:pPr>
            <w:r>
              <w:rPr>
                <w:rFonts w:ascii="宋体" w:hAnsi="宋体" w:cs="宋体"/>
                <w:sz w:val="24"/>
              </w:rPr>
            </w:r>
            <w:r/>
          </w:p>
        </w:tc>
        <w:tc>
          <w:tcPr>
            <w:tcW w:w="2439" w:type="dxa"/>
            <w:vAlign w:val="center"/>
            <w:textDirection w:val="lrTb"/>
            <w:noWrap w:val="false"/>
          </w:tcPr>
          <w:p>
            <w:pPr>
              <w:jc w:val="center"/>
              <w:rPr>
                <w:rFonts w:ascii="宋体" w:hAnsi="宋体" w:cs="宋体"/>
                <w:sz w:val="24"/>
              </w:rPr>
            </w:pPr>
            <w:r>
              <w:rPr>
                <w:rFonts w:ascii="宋体" w:hAnsi="宋体" w:cs="宋体"/>
                <w:sz w:val="24"/>
              </w:rPr>
            </w:r>
            <w:r/>
          </w:p>
        </w:tc>
        <w:tc>
          <w:tcPr>
            <w:tcW w:w="2135" w:type="dxa"/>
            <w:vAlign w:val="center"/>
            <w:textDirection w:val="lrTb"/>
            <w:noWrap w:val="false"/>
          </w:tcPr>
          <w:p>
            <w:pPr>
              <w:jc w:val="center"/>
              <w:rPr>
                <w:rFonts w:ascii="宋体" w:hAnsi="宋体" w:cs="宋体"/>
                <w:sz w:val="24"/>
              </w:rPr>
            </w:pPr>
            <w:r>
              <w:rPr>
                <w:rFonts w:ascii="宋体" w:hAnsi="宋体" w:cs="宋体"/>
                <w:sz w:val="24"/>
              </w:rPr>
            </w:r>
            <w:r/>
          </w:p>
        </w:tc>
        <w:tc>
          <w:tcPr>
            <w:tcW w:w="1358" w:type="dxa"/>
            <w:vAlign w:val="center"/>
            <w:textDirection w:val="lrTb"/>
            <w:noWrap w:val="false"/>
          </w:tcPr>
          <w:p>
            <w:pPr>
              <w:jc w:val="center"/>
              <w:rPr>
                <w:rFonts w:ascii="宋体" w:hAnsi="宋体" w:cs="宋体"/>
                <w:sz w:val="24"/>
              </w:rPr>
            </w:pPr>
            <w:r>
              <w:rPr>
                <w:rFonts w:ascii="宋体" w:hAnsi="宋体" w:cs="宋体"/>
                <w:sz w:val="24"/>
              </w:rPr>
            </w:r>
            <w:r/>
          </w:p>
        </w:tc>
        <w:tc>
          <w:tcPr>
            <w:tcW w:w="241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53"/>
        </w:trPr>
        <w:tc>
          <w:tcPr>
            <w:tcW w:w="1014" w:type="dxa"/>
            <w:vAlign w:val="center"/>
            <w:textDirection w:val="lrTb"/>
            <w:noWrap w:val="false"/>
          </w:tcPr>
          <w:p>
            <w:pPr>
              <w:jc w:val="center"/>
              <w:rPr>
                <w:rFonts w:ascii="宋体" w:hAnsi="宋体" w:cs="宋体"/>
                <w:sz w:val="24"/>
              </w:rPr>
            </w:pPr>
            <w:r>
              <w:rPr>
                <w:rFonts w:ascii="宋体" w:hAnsi="宋体" w:cs="宋体"/>
                <w:sz w:val="24"/>
              </w:rPr>
            </w:r>
            <w:r/>
          </w:p>
        </w:tc>
        <w:tc>
          <w:tcPr>
            <w:tcW w:w="2439" w:type="dxa"/>
            <w:vAlign w:val="center"/>
            <w:textDirection w:val="lrTb"/>
            <w:noWrap w:val="false"/>
          </w:tcPr>
          <w:p>
            <w:pPr>
              <w:jc w:val="center"/>
              <w:rPr>
                <w:rFonts w:ascii="宋体" w:hAnsi="宋体" w:cs="宋体"/>
                <w:sz w:val="24"/>
              </w:rPr>
            </w:pPr>
            <w:r>
              <w:rPr>
                <w:rFonts w:ascii="宋体" w:hAnsi="宋体" w:cs="宋体"/>
                <w:sz w:val="24"/>
              </w:rPr>
            </w:r>
            <w:r/>
          </w:p>
        </w:tc>
        <w:tc>
          <w:tcPr>
            <w:tcW w:w="2135" w:type="dxa"/>
            <w:vAlign w:val="center"/>
            <w:textDirection w:val="lrTb"/>
            <w:noWrap w:val="false"/>
          </w:tcPr>
          <w:p>
            <w:pPr>
              <w:jc w:val="center"/>
              <w:rPr>
                <w:rFonts w:ascii="宋体" w:hAnsi="宋体" w:cs="宋体"/>
                <w:sz w:val="24"/>
              </w:rPr>
            </w:pPr>
            <w:r>
              <w:rPr>
                <w:rFonts w:ascii="宋体" w:hAnsi="宋体" w:cs="宋体"/>
                <w:sz w:val="24"/>
              </w:rPr>
            </w:r>
            <w:r/>
          </w:p>
        </w:tc>
        <w:tc>
          <w:tcPr>
            <w:tcW w:w="1358" w:type="dxa"/>
            <w:vAlign w:val="center"/>
            <w:textDirection w:val="lrTb"/>
            <w:noWrap w:val="false"/>
          </w:tcPr>
          <w:p>
            <w:pPr>
              <w:jc w:val="center"/>
              <w:rPr>
                <w:rFonts w:ascii="宋体" w:hAnsi="宋体" w:cs="宋体"/>
                <w:sz w:val="24"/>
              </w:rPr>
            </w:pPr>
            <w:r>
              <w:rPr>
                <w:rFonts w:ascii="宋体" w:hAnsi="宋体" w:cs="宋体"/>
                <w:sz w:val="24"/>
              </w:rPr>
            </w:r>
            <w:r/>
          </w:p>
        </w:tc>
        <w:tc>
          <w:tcPr>
            <w:tcW w:w="241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53"/>
        </w:trPr>
        <w:tc>
          <w:tcPr>
            <w:tcW w:w="1014" w:type="dxa"/>
            <w:vAlign w:val="center"/>
            <w:textDirection w:val="lrTb"/>
            <w:noWrap w:val="false"/>
          </w:tcPr>
          <w:p>
            <w:pPr>
              <w:jc w:val="center"/>
              <w:rPr>
                <w:rFonts w:ascii="宋体" w:hAnsi="宋体" w:cs="宋体"/>
                <w:sz w:val="24"/>
              </w:rPr>
            </w:pPr>
            <w:r>
              <w:rPr>
                <w:rFonts w:ascii="宋体" w:hAnsi="宋体" w:cs="宋体"/>
                <w:sz w:val="24"/>
              </w:rPr>
            </w:r>
            <w:r/>
          </w:p>
        </w:tc>
        <w:tc>
          <w:tcPr>
            <w:tcW w:w="2439" w:type="dxa"/>
            <w:vAlign w:val="center"/>
            <w:textDirection w:val="lrTb"/>
            <w:noWrap w:val="false"/>
          </w:tcPr>
          <w:p>
            <w:pPr>
              <w:jc w:val="center"/>
              <w:rPr>
                <w:rFonts w:ascii="宋体" w:hAnsi="宋体" w:cs="宋体"/>
                <w:sz w:val="24"/>
              </w:rPr>
            </w:pPr>
            <w:r>
              <w:rPr>
                <w:rFonts w:ascii="宋体" w:hAnsi="宋体" w:cs="宋体"/>
                <w:sz w:val="24"/>
              </w:rPr>
            </w:r>
            <w:r/>
          </w:p>
        </w:tc>
        <w:tc>
          <w:tcPr>
            <w:tcW w:w="2135" w:type="dxa"/>
            <w:vAlign w:val="center"/>
            <w:textDirection w:val="lrTb"/>
            <w:noWrap w:val="false"/>
          </w:tcPr>
          <w:p>
            <w:pPr>
              <w:jc w:val="center"/>
              <w:rPr>
                <w:rFonts w:ascii="宋体" w:hAnsi="宋体" w:cs="宋体"/>
                <w:sz w:val="24"/>
              </w:rPr>
            </w:pPr>
            <w:r>
              <w:rPr>
                <w:rFonts w:ascii="宋体" w:hAnsi="宋体" w:cs="宋体"/>
                <w:sz w:val="24"/>
              </w:rPr>
            </w:r>
            <w:r/>
          </w:p>
        </w:tc>
        <w:tc>
          <w:tcPr>
            <w:tcW w:w="1358" w:type="dxa"/>
            <w:vAlign w:val="center"/>
            <w:textDirection w:val="lrTb"/>
            <w:noWrap w:val="false"/>
          </w:tcPr>
          <w:p>
            <w:pPr>
              <w:jc w:val="center"/>
              <w:rPr>
                <w:rFonts w:ascii="宋体" w:hAnsi="宋体" w:cs="宋体"/>
                <w:sz w:val="24"/>
              </w:rPr>
            </w:pPr>
            <w:r>
              <w:rPr>
                <w:rFonts w:ascii="宋体" w:hAnsi="宋体" w:cs="宋体"/>
                <w:sz w:val="24"/>
              </w:rPr>
            </w:r>
            <w:r/>
          </w:p>
        </w:tc>
        <w:tc>
          <w:tcPr>
            <w:tcW w:w="241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53"/>
        </w:trPr>
        <w:tc>
          <w:tcPr>
            <w:tcW w:w="1014" w:type="dxa"/>
            <w:vAlign w:val="center"/>
            <w:textDirection w:val="lrTb"/>
            <w:noWrap w:val="false"/>
          </w:tcPr>
          <w:p>
            <w:pPr>
              <w:jc w:val="center"/>
              <w:rPr>
                <w:rFonts w:ascii="宋体" w:hAnsi="宋体" w:cs="宋体"/>
                <w:sz w:val="24"/>
              </w:rPr>
            </w:pPr>
            <w:r>
              <w:rPr>
                <w:rFonts w:ascii="宋体" w:hAnsi="宋体" w:cs="宋体"/>
                <w:sz w:val="24"/>
              </w:rPr>
            </w:r>
            <w:r/>
          </w:p>
        </w:tc>
        <w:tc>
          <w:tcPr>
            <w:tcW w:w="2439" w:type="dxa"/>
            <w:vAlign w:val="center"/>
            <w:textDirection w:val="lrTb"/>
            <w:noWrap w:val="false"/>
          </w:tcPr>
          <w:p>
            <w:pPr>
              <w:jc w:val="center"/>
              <w:rPr>
                <w:rFonts w:ascii="宋体" w:hAnsi="宋体" w:cs="宋体"/>
                <w:sz w:val="24"/>
              </w:rPr>
            </w:pPr>
            <w:r>
              <w:rPr>
                <w:rFonts w:ascii="宋体" w:hAnsi="宋体" w:cs="宋体"/>
                <w:sz w:val="24"/>
              </w:rPr>
            </w:r>
            <w:r/>
          </w:p>
        </w:tc>
        <w:tc>
          <w:tcPr>
            <w:tcW w:w="2135" w:type="dxa"/>
            <w:vAlign w:val="center"/>
            <w:textDirection w:val="lrTb"/>
            <w:noWrap w:val="false"/>
          </w:tcPr>
          <w:p>
            <w:pPr>
              <w:jc w:val="center"/>
              <w:rPr>
                <w:rFonts w:ascii="宋体" w:hAnsi="宋体" w:cs="宋体"/>
                <w:sz w:val="24"/>
              </w:rPr>
            </w:pPr>
            <w:r>
              <w:rPr>
                <w:rFonts w:ascii="宋体" w:hAnsi="宋体" w:cs="宋体"/>
                <w:sz w:val="24"/>
              </w:rPr>
            </w:r>
            <w:r/>
          </w:p>
        </w:tc>
        <w:tc>
          <w:tcPr>
            <w:tcW w:w="1358" w:type="dxa"/>
            <w:vAlign w:val="center"/>
            <w:textDirection w:val="lrTb"/>
            <w:noWrap w:val="false"/>
          </w:tcPr>
          <w:p>
            <w:pPr>
              <w:jc w:val="center"/>
              <w:rPr>
                <w:rFonts w:ascii="宋体" w:hAnsi="宋体" w:cs="宋体"/>
                <w:sz w:val="24"/>
              </w:rPr>
            </w:pPr>
            <w:r>
              <w:rPr>
                <w:rFonts w:ascii="宋体" w:hAnsi="宋体" w:cs="宋体"/>
                <w:sz w:val="24"/>
              </w:rPr>
            </w:r>
            <w:r/>
          </w:p>
        </w:tc>
        <w:tc>
          <w:tcPr>
            <w:tcW w:w="241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53"/>
        </w:trPr>
        <w:tc>
          <w:tcPr>
            <w:tcW w:w="1014" w:type="dxa"/>
            <w:vAlign w:val="center"/>
            <w:textDirection w:val="lrTb"/>
            <w:noWrap w:val="false"/>
          </w:tcPr>
          <w:p>
            <w:pPr>
              <w:jc w:val="center"/>
              <w:rPr>
                <w:rFonts w:ascii="宋体" w:hAnsi="宋体" w:cs="宋体"/>
                <w:sz w:val="24"/>
              </w:rPr>
            </w:pPr>
            <w:r>
              <w:rPr>
                <w:rFonts w:ascii="宋体" w:hAnsi="宋体" w:cs="宋体"/>
                <w:sz w:val="24"/>
              </w:rPr>
            </w:r>
            <w:r/>
          </w:p>
        </w:tc>
        <w:tc>
          <w:tcPr>
            <w:tcW w:w="2439" w:type="dxa"/>
            <w:vAlign w:val="center"/>
            <w:textDirection w:val="lrTb"/>
            <w:noWrap w:val="false"/>
          </w:tcPr>
          <w:p>
            <w:pPr>
              <w:jc w:val="center"/>
              <w:rPr>
                <w:rFonts w:ascii="宋体" w:hAnsi="宋体" w:cs="宋体"/>
                <w:sz w:val="24"/>
              </w:rPr>
            </w:pPr>
            <w:r>
              <w:rPr>
                <w:rFonts w:ascii="宋体" w:hAnsi="宋体" w:cs="宋体"/>
                <w:sz w:val="24"/>
              </w:rPr>
            </w:r>
            <w:r/>
          </w:p>
        </w:tc>
        <w:tc>
          <w:tcPr>
            <w:tcW w:w="2135" w:type="dxa"/>
            <w:vAlign w:val="center"/>
            <w:textDirection w:val="lrTb"/>
            <w:noWrap w:val="false"/>
          </w:tcPr>
          <w:p>
            <w:pPr>
              <w:jc w:val="center"/>
              <w:rPr>
                <w:rFonts w:ascii="宋体" w:hAnsi="宋体" w:cs="宋体"/>
                <w:sz w:val="24"/>
              </w:rPr>
            </w:pPr>
            <w:r>
              <w:rPr>
                <w:rFonts w:ascii="宋体" w:hAnsi="宋体" w:cs="宋体"/>
                <w:sz w:val="24"/>
              </w:rPr>
            </w:r>
            <w:r/>
          </w:p>
        </w:tc>
        <w:tc>
          <w:tcPr>
            <w:tcW w:w="1358" w:type="dxa"/>
            <w:vAlign w:val="center"/>
            <w:textDirection w:val="lrTb"/>
            <w:noWrap w:val="false"/>
          </w:tcPr>
          <w:p>
            <w:pPr>
              <w:jc w:val="center"/>
              <w:rPr>
                <w:rFonts w:ascii="宋体" w:hAnsi="宋体" w:cs="宋体"/>
                <w:sz w:val="24"/>
              </w:rPr>
            </w:pPr>
            <w:r>
              <w:rPr>
                <w:rFonts w:ascii="宋体" w:hAnsi="宋体" w:cs="宋体"/>
                <w:sz w:val="24"/>
              </w:rPr>
            </w:r>
            <w:r/>
          </w:p>
        </w:tc>
        <w:tc>
          <w:tcPr>
            <w:tcW w:w="241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53"/>
        </w:trPr>
        <w:tc>
          <w:tcPr>
            <w:tcW w:w="1014" w:type="dxa"/>
            <w:vAlign w:val="center"/>
            <w:textDirection w:val="lrTb"/>
            <w:noWrap w:val="false"/>
          </w:tcPr>
          <w:p>
            <w:pPr>
              <w:jc w:val="center"/>
              <w:rPr>
                <w:rFonts w:ascii="宋体" w:hAnsi="宋体" w:cs="宋体"/>
                <w:sz w:val="24"/>
              </w:rPr>
            </w:pPr>
            <w:r>
              <w:rPr>
                <w:rFonts w:ascii="宋体" w:hAnsi="宋体" w:cs="宋体"/>
                <w:sz w:val="24"/>
              </w:rPr>
            </w:r>
            <w:r/>
          </w:p>
        </w:tc>
        <w:tc>
          <w:tcPr>
            <w:tcW w:w="2439" w:type="dxa"/>
            <w:vAlign w:val="center"/>
            <w:textDirection w:val="lrTb"/>
            <w:noWrap w:val="false"/>
          </w:tcPr>
          <w:p>
            <w:pPr>
              <w:jc w:val="center"/>
              <w:rPr>
                <w:rFonts w:ascii="宋体" w:hAnsi="宋体" w:cs="宋体"/>
                <w:sz w:val="24"/>
              </w:rPr>
            </w:pPr>
            <w:r>
              <w:rPr>
                <w:rFonts w:ascii="宋体" w:hAnsi="宋体" w:cs="宋体"/>
                <w:sz w:val="24"/>
              </w:rPr>
            </w:r>
            <w:r/>
          </w:p>
        </w:tc>
        <w:tc>
          <w:tcPr>
            <w:tcW w:w="2135" w:type="dxa"/>
            <w:vAlign w:val="center"/>
            <w:textDirection w:val="lrTb"/>
            <w:noWrap w:val="false"/>
          </w:tcPr>
          <w:p>
            <w:pPr>
              <w:jc w:val="center"/>
              <w:rPr>
                <w:rFonts w:ascii="宋体" w:hAnsi="宋体" w:cs="宋体"/>
                <w:sz w:val="24"/>
              </w:rPr>
            </w:pPr>
            <w:r>
              <w:rPr>
                <w:rFonts w:ascii="宋体" w:hAnsi="宋体" w:cs="宋体"/>
                <w:sz w:val="24"/>
              </w:rPr>
            </w:r>
            <w:r/>
          </w:p>
        </w:tc>
        <w:tc>
          <w:tcPr>
            <w:tcW w:w="1358" w:type="dxa"/>
            <w:vAlign w:val="center"/>
            <w:textDirection w:val="lrTb"/>
            <w:noWrap w:val="false"/>
          </w:tcPr>
          <w:p>
            <w:pPr>
              <w:jc w:val="center"/>
              <w:rPr>
                <w:rFonts w:ascii="宋体" w:hAnsi="宋体" w:cs="宋体"/>
                <w:sz w:val="24"/>
              </w:rPr>
            </w:pPr>
            <w:r>
              <w:rPr>
                <w:rFonts w:ascii="宋体" w:hAnsi="宋体" w:cs="宋体"/>
                <w:sz w:val="24"/>
              </w:rPr>
            </w:r>
            <w:r/>
          </w:p>
        </w:tc>
        <w:tc>
          <w:tcPr>
            <w:tcW w:w="241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53"/>
        </w:trPr>
        <w:tc>
          <w:tcPr>
            <w:tcW w:w="1014" w:type="dxa"/>
            <w:vAlign w:val="center"/>
            <w:textDirection w:val="lrTb"/>
            <w:noWrap w:val="false"/>
          </w:tcPr>
          <w:p>
            <w:pPr>
              <w:jc w:val="center"/>
              <w:rPr>
                <w:rFonts w:ascii="宋体" w:hAnsi="宋体" w:cs="宋体"/>
                <w:sz w:val="24"/>
              </w:rPr>
            </w:pPr>
            <w:r>
              <w:rPr>
                <w:rFonts w:ascii="宋体" w:hAnsi="宋体" w:cs="宋体"/>
                <w:sz w:val="24"/>
              </w:rPr>
            </w:r>
            <w:r/>
          </w:p>
        </w:tc>
        <w:tc>
          <w:tcPr>
            <w:tcW w:w="2439" w:type="dxa"/>
            <w:vAlign w:val="center"/>
            <w:textDirection w:val="lrTb"/>
            <w:noWrap w:val="false"/>
          </w:tcPr>
          <w:p>
            <w:pPr>
              <w:jc w:val="center"/>
              <w:rPr>
                <w:rFonts w:ascii="宋体" w:hAnsi="宋体" w:cs="宋体"/>
                <w:sz w:val="24"/>
              </w:rPr>
            </w:pPr>
            <w:r>
              <w:rPr>
                <w:rFonts w:ascii="宋体" w:hAnsi="宋体" w:cs="宋体"/>
                <w:sz w:val="24"/>
              </w:rPr>
            </w:r>
            <w:r/>
          </w:p>
        </w:tc>
        <w:tc>
          <w:tcPr>
            <w:tcW w:w="2135" w:type="dxa"/>
            <w:vAlign w:val="center"/>
            <w:textDirection w:val="lrTb"/>
            <w:noWrap w:val="false"/>
          </w:tcPr>
          <w:p>
            <w:pPr>
              <w:jc w:val="center"/>
              <w:rPr>
                <w:rFonts w:ascii="宋体" w:hAnsi="宋体" w:cs="宋体"/>
                <w:sz w:val="24"/>
              </w:rPr>
            </w:pPr>
            <w:r>
              <w:rPr>
                <w:rFonts w:ascii="宋体" w:hAnsi="宋体" w:cs="宋体"/>
                <w:sz w:val="24"/>
              </w:rPr>
            </w:r>
            <w:r/>
          </w:p>
        </w:tc>
        <w:tc>
          <w:tcPr>
            <w:tcW w:w="1358" w:type="dxa"/>
            <w:vAlign w:val="center"/>
            <w:textDirection w:val="lrTb"/>
            <w:noWrap w:val="false"/>
          </w:tcPr>
          <w:p>
            <w:pPr>
              <w:jc w:val="center"/>
              <w:rPr>
                <w:rFonts w:ascii="宋体" w:hAnsi="宋体" w:cs="宋体"/>
                <w:sz w:val="24"/>
              </w:rPr>
            </w:pPr>
            <w:r>
              <w:rPr>
                <w:rFonts w:ascii="宋体" w:hAnsi="宋体" w:cs="宋体"/>
                <w:sz w:val="24"/>
              </w:rPr>
            </w:r>
            <w:r/>
          </w:p>
        </w:tc>
        <w:tc>
          <w:tcPr>
            <w:tcW w:w="241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53"/>
        </w:trPr>
        <w:tc>
          <w:tcPr>
            <w:tcW w:w="1014" w:type="dxa"/>
            <w:vAlign w:val="center"/>
            <w:textDirection w:val="lrTb"/>
            <w:noWrap w:val="false"/>
          </w:tcPr>
          <w:p>
            <w:pPr>
              <w:jc w:val="center"/>
              <w:rPr>
                <w:rFonts w:ascii="宋体" w:hAnsi="宋体" w:cs="宋体"/>
                <w:sz w:val="24"/>
              </w:rPr>
            </w:pPr>
            <w:r>
              <w:rPr>
                <w:rFonts w:ascii="宋体" w:hAnsi="宋体" w:cs="宋体"/>
                <w:sz w:val="24"/>
              </w:rPr>
            </w:r>
            <w:r/>
          </w:p>
        </w:tc>
        <w:tc>
          <w:tcPr>
            <w:tcW w:w="2439" w:type="dxa"/>
            <w:vAlign w:val="center"/>
            <w:textDirection w:val="lrTb"/>
            <w:noWrap w:val="false"/>
          </w:tcPr>
          <w:p>
            <w:pPr>
              <w:jc w:val="center"/>
              <w:rPr>
                <w:rFonts w:ascii="宋体" w:hAnsi="宋体" w:cs="宋体"/>
                <w:sz w:val="24"/>
              </w:rPr>
            </w:pPr>
            <w:r>
              <w:rPr>
                <w:rFonts w:ascii="宋体" w:hAnsi="宋体" w:cs="宋体"/>
                <w:sz w:val="24"/>
              </w:rPr>
            </w:r>
            <w:r/>
          </w:p>
        </w:tc>
        <w:tc>
          <w:tcPr>
            <w:tcW w:w="2135" w:type="dxa"/>
            <w:vAlign w:val="center"/>
            <w:textDirection w:val="lrTb"/>
            <w:noWrap w:val="false"/>
          </w:tcPr>
          <w:p>
            <w:pPr>
              <w:jc w:val="center"/>
              <w:rPr>
                <w:rFonts w:ascii="宋体" w:hAnsi="宋体" w:cs="宋体"/>
                <w:sz w:val="24"/>
              </w:rPr>
            </w:pPr>
            <w:r>
              <w:rPr>
                <w:rFonts w:ascii="宋体" w:hAnsi="宋体" w:cs="宋体"/>
                <w:sz w:val="24"/>
              </w:rPr>
            </w:r>
            <w:r/>
          </w:p>
        </w:tc>
        <w:tc>
          <w:tcPr>
            <w:tcW w:w="1358" w:type="dxa"/>
            <w:vAlign w:val="center"/>
            <w:textDirection w:val="lrTb"/>
            <w:noWrap w:val="false"/>
          </w:tcPr>
          <w:p>
            <w:pPr>
              <w:jc w:val="center"/>
              <w:rPr>
                <w:rFonts w:ascii="宋体" w:hAnsi="宋体" w:cs="宋体"/>
                <w:sz w:val="24"/>
              </w:rPr>
            </w:pPr>
            <w:r>
              <w:rPr>
                <w:rFonts w:ascii="宋体" w:hAnsi="宋体" w:cs="宋体"/>
                <w:sz w:val="24"/>
              </w:rPr>
            </w:r>
            <w:r/>
          </w:p>
        </w:tc>
        <w:tc>
          <w:tcPr>
            <w:tcW w:w="241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53"/>
        </w:trPr>
        <w:tc>
          <w:tcPr>
            <w:tcW w:w="1014" w:type="dxa"/>
            <w:vAlign w:val="center"/>
            <w:textDirection w:val="lrTb"/>
            <w:noWrap w:val="false"/>
          </w:tcPr>
          <w:p>
            <w:pPr>
              <w:jc w:val="center"/>
              <w:rPr>
                <w:rFonts w:ascii="宋体" w:hAnsi="宋体" w:cs="宋体"/>
                <w:sz w:val="24"/>
              </w:rPr>
            </w:pPr>
            <w:r>
              <w:rPr>
                <w:rFonts w:ascii="宋体" w:hAnsi="宋体" w:cs="宋体"/>
                <w:sz w:val="24"/>
              </w:rPr>
            </w:r>
            <w:r/>
          </w:p>
        </w:tc>
        <w:tc>
          <w:tcPr>
            <w:tcW w:w="2439" w:type="dxa"/>
            <w:vAlign w:val="center"/>
            <w:textDirection w:val="lrTb"/>
            <w:noWrap w:val="false"/>
          </w:tcPr>
          <w:p>
            <w:pPr>
              <w:jc w:val="center"/>
              <w:rPr>
                <w:rFonts w:ascii="宋体" w:hAnsi="宋体" w:cs="宋体"/>
                <w:sz w:val="24"/>
              </w:rPr>
            </w:pPr>
            <w:r>
              <w:rPr>
                <w:rFonts w:ascii="宋体" w:hAnsi="宋体" w:cs="宋体"/>
                <w:sz w:val="24"/>
              </w:rPr>
            </w:r>
            <w:r/>
          </w:p>
        </w:tc>
        <w:tc>
          <w:tcPr>
            <w:tcW w:w="2135" w:type="dxa"/>
            <w:vAlign w:val="center"/>
            <w:textDirection w:val="lrTb"/>
            <w:noWrap w:val="false"/>
          </w:tcPr>
          <w:p>
            <w:pPr>
              <w:jc w:val="center"/>
              <w:rPr>
                <w:rFonts w:ascii="宋体" w:hAnsi="宋体" w:cs="宋体"/>
                <w:sz w:val="24"/>
              </w:rPr>
            </w:pPr>
            <w:r>
              <w:rPr>
                <w:rFonts w:ascii="宋体" w:hAnsi="宋体" w:cs="宋体"/>
                <w:sz w:val="24"/>
              </w:rPr>
            </w:r>
            <w:r/>
          </w:p>
        </w:tc>
        <w:tc>
          <w:tcPr>
            <w:tcW w:w="1358" w:type="dxa"/>
            <w:vAlign w:val="center"/>
            <w:textDirection w:val="lrTb"/>
            <w:noWrap w:val="false"/>
          </w:tcPr>
          <w:p>
            <w:pPr>
              <w:jc w:val="center"/>
              <w:rPr>
                <w:rFonts w:ascii="宋体" w:hAnsi="宋体" w:cs="宋体"/>
                <w:sz w:val="24"/>
              </w:rPr>
            </w:pPr>
            <w:r>
              <w:rPr>
                <w:rFonts w:ascii="宋体" w:hAnsi="宋体" w:cs="宋体"/>
                <w:sz w:val="24"/>
              </w:rPr>
            </w:r>
            <w:r/>
          </w:p>
        </w:tc>
        <w:tc>
          <w:tcPr>
            <w:tcW w:w="241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72"/>
        </w:trPr>
        <w:tc>
          <w:tcPr>
            <w:tcW w:w="1014" w:type="dxa"/>
            <w:vAlign w:val="center"/>
            <w:textDirection w:val="lrTb"/>
            <w:noWrap w:val="false"/>
          </w:tcPr>
          <w:p>
            <w:pPr>
              <w:jc w:val="center"/>
              <w:rPr>
                <w:rFonts w:ascii="宋体" w:hAnsi="宋体" w:cs="宋体"/>
                <w:sz w:val="24"/>
              </w:rPr>
            </w:pPr>
            <w:r>
              <w:rPr>
                <w:rFonts w:ascii="宋体" w:hAnsi="宋体" w:cs="宋体"/>
                <w:sz w:val="24"/>
              </w:rPr>
            </w:r>
            <w:r/>
          </w:p>
        </w:tc>
        <w:tc>
          <w:tcPr>
            <w:tcW w:w="2439" w:type="dxa"/>
            <w:vAlign w:val="center"/>
            <w:textDirection w:val="lrTb"/>
            <w:noWrap w:val="false"/>
          </w:tcPr>
          <w:p>
            <w:pPr>
              <w:jc w:val="center"/>
              <w:rPr>
                <w:rFonts w:ascii="宋体" w:hAnsi="宋体" w:cs="宋体"/>
                <w:sz w:val="24"/>
              </w:rPr>
            </w:pPr>
            <w:r>
              <w:rPr>
                <w:rFonts w:ascii="宋体" w:hAnsi="宋体" w:cs="宋体"/>
                <w:sz w:val="24"/>
              </w:rPr>
            </w:r>
            <w:r/>
          </w:p>
        </w:tc>
        <w:tc>
          <w:tcPr>
            <w:tcW w:w="2135" w:type="dxa"/>
            <w:vAlign w:val="center"/>
            <w:textDirection w:val="lrTb"/>
            <w:noWrap w:val="false"/>
          </w:tcPr>
          <w:p>
            <w:pPr>
              <w:jc w:val="center"/>
              <w:rPr>
                <w:rFonts w:ascii="宋体" w:hAnsi="宋体" w:cs="宋体"/>
                <w:sz w:val="24"/>
              </w:rPr>
            </w:pPr>
            <w:r>
              <w:rPr>
                <w:rFonts w:ascii="宋体" w:hAnsi="宋体" w:cs="宋体"/>
                <w:sz w:val="24"/>
              </w:rPr>
            </w:r>
            <w:r/>
          </w:p>
        </w:tc>
        <w:tc>
          <w:tcPr>
            <w:tcW w:w="1358" w:type="dxa"/>
            <w:vAlign w:val="center"/>
            <w:textDirection w:val="lrTb"/>
            <w:noWrap w:val="false"/>
          </w:tcPr>
          <w:p>
            <w:pPr>
              <w:jc w:val="center"/>
              <w:rPr>
                <w:rFonts w:ascii="宋体" w:hAnsi="宋体" w:cs="宋体"/>
                <w:sz w:val="24"/>
              </w:rPr>
            </w:pPr>
            <w:r>
              <w:rPr>
                <w:rFonts w:ascii="宋体" w:hAnsi="宋体" w:cs="宋体"/>
                <w:sz w:val="24"/>
              </w:rPr>
            </w:r>
            <w:r/>
          </w:p>
        </w:tc>
        <w:tc>
          <w:tcPr>
            <w:tcW w:w="2418" w:type="dxa"/>
            <w:vAlign w:val="center"/>
            <w:textDirection w:val="lrTb"/>
            <w:noWrap w:val="false"/>
          </w:tcPr>
          <w:p>
            <w:pPr>
              <w:jc w:val="center"/>
              <w:rPr>
                <w:rFonts w:ascii="宋体" w:hAnsi="宋体" w:cs="宋体"/>
                <w:sz w:val="24"/>
              </w:rPr>
            </w:pPr>
            <w:r>
              <w:rPr>
                <w:rFonts w:ascii="宋体" w:hAnsi="宋体" w:cs="宋体"/>
                <w:sz w:val="24"/>
              </w:rPr>
            </w:r>
            <w:r/>
          </w:p>
        </w:tc>
      </w:tr>
    </w:tbl>
    <w:p>
      <w:pPr>
        <w:jc w:val="center"/>
        <w:rPr>
          <w:rFonts w:ascii="宋体" w:hAnsi="宋体"/>
          <w:sz w:val="24"/>
          <w:szCs w:val="24"/>
        </w:rPr>
      </w:pPr>
      <w:r>
        <w:rPr>
          <w:rFonts w:ascii="宋体" w:hAnsi="宋体"/>
          <w:sz w:val="24"/>
          <w:szCs w:val="24"/>
        </w:rPr>
      </w:r>
      <w:r/>
    </w:p>
    <w:p>
      <w:pPr>
        <w:ind w:firstLine="2520"/>
        <w:spacing w:line="360" w:lineRule="atLeast"/>
        <w:shd w:val="clear" w:color="auto" w:fill="ffffff"/>
        <w:widowControl/>
        <w:rPr>
          <w:rFonts w:ascii="宋体" w:hAnsi="宋体"/>
          <w:sz w:val="28"/>
          <w:szCs w:val="28"/>
          <w:shd w:val="clear" w:color="auto" w:fill="ffffff"/>
        </w:rPr>
      </w:pPr>
      <w:r>
        <w:rPr>
          <w:rFonts w:hint="eastAsia" w:ascii="宋体" w:hAnsi="宋体"/>
          <w:sz w:val="24"/>
          <w:szCs w:val="21"/>
        </w:rPr>
        <w:t xml:space="preserve">供应商全称（加盖CA电子公章）</w:t>
      </w:r>
      <w:r>
        <w:rPr>
          <w:rFonts w:hint="eastAsia" w:ascii="宋体" w:hAnsi="宋体"/>
          <w:sz w:val="28"/>
          <w:szCs w:val="28"/>
          <w:shd w:val="clear" w:color="auto" w:fill="ffffff"/>
        </w:rPr>
        <w:t xml:space="preserve">：</w:t>
      </w:r>
      <w:r/>
    </w:p>
    <w:p>
      <w:pPr>
        <w:ind w:firstLine="2520"/>
        <w:spacing w:line="360" w:lineRule="atLeast"/>
        <w:shd w:val="clear" w:color="auto" w:fill="ffffff"/>
        <w:widowControl/>
        <w:rPr>
          <w:rFonts w:ascii="宋体"/>
          <w:sz w:val="28"/>
          <w:szCs w:val="28"/>
          <w:shd w:val="clear" w:color="auto" w:fill="ffffff"/>
        </w:rPr>
      </w:pPr>
      <w:r>
        <w:rPr>
          <w:rFonts w:hint="eastAsia" w:ascii="宋体" w:hAnsi="宋体"/>
          <w:sz w:val="28"/>
          <w:szCs w:val="28"/>
          <w:shd w:val="clear" w:color="auto" w:fill="ffffff"/>
        </w:rPr>
        <w:t xml:space="preserve">日期：</w:t>
      </w:r>
      <w:r/>
    </w:p>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r>
      <w:r/>
    </w:p>
    <w:p>
      <w:pPr>
        <w:jc w:val="left"/>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szCs w:val="21"/>
        </w:rPr>
      </w:pPr>
      <w:r>
        <w:rPr>
          <w:rFonts w:ascii="宋体" w:hAnsi="宋体"/>
          <w:sz w:val="24"/>
          <w:szCs w:val="21"/>
        </w:rPr>
      </w:r>
      <w:r/>
    </w:p>
    <w:p>
      <w:pPr>
        <w:spacing w:line="480" w:lineRule="auto"/>
        <w:rPr>
          <w:rFonts w:ascii="仿宋_GB2312" w:hAnsi="Arial"/>
          <w:sz w:val="30"/>
          <w:szCs w:val="21"/>
        </w:rPr>
      </w:pPr>
      <w:r>
        <w:rPr>
          <w:rFonts w:ascii="仿宋_GB2312" w:hAnsi="Arial"/>
          <w:sz w:val="30"/>
          <w:szCs w:val="21"/>
        </w:rPr>
      </w:r>
      <w:r/>
    </w:p>
    <w:p>
      <w:pPr>
        <w:pStyle w:val="697"/>
        <w:jc w:val="center"/>
        <w:rPr>
          <w:sz w:val="24"/>
          <w:szCs w:val="24"/>
          <w:lang w:val="zh-CN"/>
        </w:rPr>
      </w:pPr>
      <w:r>
        <w:rPr>
          <w:rFonts w:hint="eastAsia"/>
          <w:sz w:val="24"/>
          <w:szCs w:val="24"/>
          <w:lang w:val="zh-CN"/>
        </w:rPr>
        <w:t xml:space="preserve">（二）</w:t>
      </w:r>
      <w:r/>
    </w:p>
    <w:p>
      <w:pPr>
        <w:jc w:val="center"/>
        <w:rPr>
          <w:rFonts w:ascii="宋体" w:hAnsi="宋体"/>
          <w:bCs/>
          <w:sz w:val="24"/>
          <w:lang w:val="zh-CN"/>
        </w:rPr>
      </w:pPr>
      <w:r>
        <w:rPr>
          <w:rFonts w:hint="eastAsia" w:ascii="宋体" w:hAnsi="宋体"/>
          <w:bCs/>
          <w:sz w:val="24"/>
          <w:lang w:val="zh-CN"/>
        </w:rPr>
        <w:t xml:space="preserve">业绩所需材料</w:t>
      </w:r>
      <w:r/>
    </w:p>
    <w:p>
      <w:pPr>
        <w:jc w:val="center"/>
        <w:rPr>
          <w:rFonts w:ascii="宋体" w:hAnsi="宋体"/>
          <w:b/>
          <w:sz w:val="32"/>
          <w:szCs w:val="32"/>
          <w:lang w:val="zh-CN"/>
        </w:rPr>
      </w:pPr>
      <w:r>
        <w:rPr>
          <w:rFonts w:ascii="宋体" w:hAnsi="宋体"/>
          <w:b/>
          <w:sz w:val="32"/>
          <w:szCs w:val="32"/>
          <w:lang w:val="zh-CN"/>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ascii="宋体"/>
          <w:b/>
          <w:sz w:val="28"/>
          <w:szCs w:val="28"/>
          <w:shd w:val="clear" w:color="auto" w:fill="ffffff"/>
        </w:rPr>
      </w:pPr>
      <w:r>
        <w:rPr>
          <w:rFonts w:hint="eastAsia" w:ascii="黑体" w:hAnsi="黑体" w:eastAsia="黑体"/>
          <w:b/>
          <w:sz w:val="32"/>
          <w:szCs w:val="32"/>
        </w:rPr>
        <w:t xml:space="preserve">十四、</w:t>
      </w:r>
      <w:r>
        <w:rPr>
          <w:rFonts w:hint="eastAsia" w:ascii="宋体" w:hAnsi="宋体"/>
          <w:b/>
          <w:sz w:val="28"/>
          <w:szCs w:val="28"/>
          <w:shd w:val="clear" w:color="auto" w:fill="ffffff"/>
        </w:rPr>
        <w:t xml:space="preserve">商务部分所需其他资料</w:t>
      </w:r>
      <w:r/>
    </w:p>
    <w:p>
      <w:pPr>
        <w:jc w:val="center"/>
        <w:spacing w:line="280" w:lineRule="exact"/>
        <w:rPr>
          <w:rFonts w:ascii="宋体" w:hAnsi="宋体" w:cs="宋体"/>
          <w:color w:val="000000"/>
          <w:sz w:val="24"/>
          <w:lang w:bidi="ar"/>
        </w:rPr>
      </w:pPr>
      <w:r>
        <w:rPr>
          <w:rFonts w:hint="eastAsia" w:ascii="宋体" w:hAnsi="宋体" w:cs="宋体"/>
          <w:color w:val="000000"/>
          <w:sz w:val="24"/>
          <w:lang w:bidi="ar"/>
        </w:rPr>
        <w:t xml:space="preserve">（商务标所需其他证书、奖项、证明原件彩色扫描件）</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ascii="宋体" w:hAnsi="宋体"/>
          <w:b/>
          <w:sz w:val="28"/>
          <w:szCs w:val="28"/>
          <w:shd w:val="clear" w:color="auto" w:fill="ffffff"/>
        </w:rPr>
      </w:pPr>
      <w:r>
        <w:rPr>
          <w:rFonts w:hint="eastAsia" w:ascii="黑体" w:hAnsi="黑体" w:eastAsia="黑体"/>
          <w:b/>
          <w:sz w:val="32"/>
          <w:szCs w:val="32"/>
        </w:rPr>
        <w:t xml:space="preserve">十五、</w:t>
      </w:r>
      <w:r>
        <w:rPr>
          <w:rFonts w:hint="eastAsia" w:ascii="宋体" w:hAnsi="宋体"/>
          <w:b/>
          <w:sz w:val="28"/>
          <w:szCs w:val="28"/>
          <w:shd w:val="clear" w:color="auto" w:fill="ffffff"/>
        </w:rPr>
        <w:t xml:space="preserve">服务方案</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宋体" w:hAnsi="宋体" w:cs="宋体"/>
          <w:b/>
          <w:sz w:val="32"/>
          <w:szCs w:val="32"/>
        </w:rPr>
      </w:pPr>
      <w:r>
        <w:rPr>
          <w:rFonts w:hint="eastAsia" w:ascii="黑体" w:hAnsi="黑体" w:eastAsia="黑体"/>
          <w:b/>
          <w:sz w:val="32"/>
          <w:szCs w:val="32"/>
        </w:rPr>
        <w:t xml:space="preserve">十六、</w:t>
      </w:r>
      <w:r>
        <w:rPr>
          <w:rFonts w:hint="eastAsia" w:ascii="宋体" w:hAnsi="宋体" w:cs="宋体"/>
          <w:b/>
          <w:sz w:val="32"/>
          <w:szCs w:val="32"/>
        </w:rPr>
        <w:t xml:space="preserve">响水县政府采购事前信用承诺书</w:t>
      </w:r>
      <w:r/>
    </w:p>
    <w:p>
      <w:pPr>
        <w:ind w:firstLine="480"/>
        <w:spacing w:line="360" w:lineRule="auto"/>
        <w:widowControl/>
        <w:rPr>
          <w:rFonts w:ascii="宋体" w:hAnsi="宋体" w:cs="宋体"/>
          <w:sz w:val="24"/>
        </w:rPr>
      </w:pPr>
      <w:r>
        <w:rPr>
          <w:rFonts w:hint="eastAsia" w:ascii="宋体" w:hAnsi="宋体" w:cs="宋体"/>
          <w:sz w:val="24"/>
        </w:rPr>
        <w:t xml:space="preserve">为营造公开、公平、公正、诚实守信的政府采购交易环境，树立诚信守法的供应商形象，本人代表本单位作出以下承诺：</w:t>
      </w:r>
      <w:r/>
    </w:p>
    <w:p>
      <w:pPr>
        <w:ind w:firstLine="480"/>
        <w:spacing w:line="360" w:lineRule="auto"/>
        <w:widowControl/>
        <w:rPr>
          <w:rFonts w:ascii="宋体" w:hAnsi="宋体" w:cs="宋体"/>
          <w:sz w:val="24"/>
        </w:rPr>
      </w:pP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 修改、虚假成份，并对所提供资料的真实性负责；</w:t>
      </w:r>
      <w:r/>
    </w:p>
    <w:p>
      <w:pPr>
        <w:ind w:firstLine="480"/>
        <w:spacing w:line="360" w:lineRule="auto"/>
        <w:widowControl/>
        <w:rPr>
          <w:rFonts w:ascii="宋体" w:hAnsi="宋体" w:cs="宋体"/>
          <w:sz w:val="24"/>
        </w:rPr>
      </w:pPr>
      <w:r>
        <w:rPr>
          <w:rFonts w:hint="eastAsia" w:ascii="宋体" w:hAnsi="宋体" w:cs="宋体"/>
          <w:sz w:val="24"/>
        </w:rPr>
        <w:t xml:space="preserve">（二）本单位无涉及政府采购活动的违法、违规不良记录，本单位及相关负责人无因存在重大隐患整改不力、发生有重大社会影响生产安全事故或其他严重违法违规行为而被列入失信联合惩戒的不良记录；</w:t>
      </w:r>
      <w:r/>
    </w:p>
    <w:p>
      <w:pPr>
        <w:ind w:firstLine="480"/>
        <w:spacing w:line="360" w:lineRule="auto"/>
        <w:widowControl/>
        <w:rPr>
          <w:rFonts w:ascii="宋体" w:hAnsi="宋体" w:cs="宋体"/>
          <w:sz w:val="24"/>
        </w:rPr>
      </w:pPr>
      <w:r>
        <w:rPr>
          <w:rFonts w:hint="eastAsia" w:ascii="宋体" w:hAnsi="宋体" w:cs="宋体"/>
          <w:sz w:val="24"/>
        </w:rPr>
        <w:t xml:space="preserve">（三）严格依照国家和省、市、县关于政府采购的法律、法规、规章、规范性文件参加政府采购投标活动，积极履行社会责任，促进廉政建设； </w:t>
      </w:r>
      <w:r/>
    </w:p>
    <w:p>
      <w:pPr>
        <w:ind w:firstLine="480"/>
        <w:spacing w:line="360" w:lineRule="auto"/>
        <w:widowControl/>
        <w:rPr>
          <w:rFonts w:ascii="宋体" w:hAnsi="宋体" w:cs="宋体"/>
          <w:sz w:val="24"/>
        </w:rPr>
      </w:pPr>
      <w:r>
        <w:rPr>
          <w:rFonts w:hint="eastAsia" w:ascii="宋体" w:hAnsi="宋体" w:cs="宋体"/>
          <w:sz w:val="24"/>
        </w:rPr>
        <w:t xml:space="preserve">（四）自我约束、自我管理，守合同、重信用，自觉维护政府采购交易的良好秩序，与参与本次政府采购活动的其他供应商不存在直接控股或管理关系，不参与围标串标、弄虚作假、骗取成交、干扰评标、违约毁约等行为；</w:t>
      </w:r>
      <w:r/>
    </w:p>
    <w:p>
      <w:pPr>
        <w:ind w:firstLine="480"/>
        <w:spacing w:line="360" w:lineRule="auto"/>
        <w:widowControl/>
        <w:rPr>
          <w:rFonts w:ascii="宋体" w:hAnsi="宋体" w:cs="宋体"/>
          <w:sz w:val="24"/>
        </w:rPr>
      </w:pPr>
      <w:r>
        <w:rPr>
          <w:rFonts w:hint="eastAsia" w:ascii="宋体" w:hAnsi="宋体" w:cs="宋体"/>
          <w:sz w:val="24"/>
        </w:rPr>
        <w:t xml:space="preserve">（五）自觉接受政府、行业组织、社会公众、新闻舆论的监督；</w:t>
      </w:r>
      <w:r/>
    </w:p>
    <w:p>
      <w:pPr>
        <w:ind w:firstLine="480"/>
        <w:spacing w:line="360" w:lineRule="auto"/>
        <w:widowControl/>
        <w:rPr>
          <w:rFonts w:ascii="宋体" w:hAnsi="宋体" w:cs="宋体"/>
          <w:sz w:val="24"/>
        </w:rPr>
      </w:pPr>
      <w:r>
        <w:rPr>
          <w:rFonts w:hint="eastAsia" w:ascii="宋体" w:hAnsi="宋体" w:cs="宋体"/>
          <w:sz w:val="24"/>
        </w:rPr>
        <w:t xml:space="preserve">（六）本单位自愿接受政府采购监督管理机构和有关行政监督部门的依法检查。如发生违法违规或不良失信行为，自愿接受政府采购监管机构和有关行政监督部门依法给予的行政处罚（处理），并依法承担相应责任；</w:t>
      </w:r>
      <w:r/>
    </w:p>
    <w:p>
      <w:pPr>
        <w:ind w:firstLine="480"/>
        <w:spacing w:line="360" w:lineRule="auto"/>
        <w:widowControl/>
        <w:rPr>
          <w:rFonts w:ascii="宋体" w:hAnsi="宋体" w:cs="宋体"/>
          <w:sz w:val="24"/>
        </w:rPr>
      </w:pPr>
      <w:r>
        <w:rPr>
          <w:rFonts w:hint="eastAsia" w:ascii="宋体" w:hAnsi="宋体" w:cs="宋体"/>
          <w:sz w:val="24"/>
        </w:rPr>
        <w:t xml:space="preserve">（七）本人已认真阅读上述承诺，并向本单位员工作了宣传教育。</w:t>
      </w:r>
      <w:r/>
    </w:p>
    <w:p>
      <w:pPr>
        <w:spacing w:line="360" w:lineRule="auto"/>
        <w:widowControl/>
        <w:rPr>
          <w:rFonts w:ascii="宋体" w:hAnsi="宋体" w:cs="宋体"/>
          <w:sz w:val="24"/>
        </w:rPr>
      </w:pPr>
      <w:r>
        <w:rPr>
          <w:rFonts w:ascii="宋体" w:hAnsi="宋体" w:cs="宋体"/>
          <w:sz w:val="24"/>
        </w:rPr>
      </w:r>
      <w:r/>
    </w:p>
    <w:p>
      <w:pPr>
        <w:jc w:val="left"/>
        <w:rPr>
          <w:rFonts w:ascii="宋体" w:hAnsi="宋体"/>
          <w:sz w:val="24"/>
          <w:szCs w:val="21"/>
        </w:rPr>
      </w:pPr>
      <w:r>
        <w:rPr>
          <w:rFonts w:hint="eastAsia" w:ascii="宋体" w:hAnsi="宋体"/>
          <w:sz w:val="24"/>
          <w:szCs w:val="21"/>
        </w:rPr>
        <w:t xml:space="preserve">法人签字或盖章：</w:t>
      </w:r>
      <w:r/>
    </w:p>
    <w:p>
      <w:pPr>
        <w:jc w:val="left"/>
        <w:spacing w:line="360" w:lineRule="atLeast"/>
        <w:shd w:val="clear" w:color="auto" w:fill="ffffff"/>
        <w:widowControl/>
        <w:rPr>
          <w:rFonts w:ascii="宋体" w:hAnsi="宋体"/>
          <w:sz w:val="28"/>
          <w:szCs w:val="28"/>
          <w:shd w:val="clear" w:color="auto" w:fill="ffffff"/>
        </w:rPr>
      </w:pPr>
      <w:r>
        <w:rPr>
          <w:rFonts w:hint="eastAsia" w:ascii="宋体" w:hAnsi="宋体"/>
          <w:sz w:val="24"/>
          <w:szCs w:val="21"/>
        </w:rPr>
        <w:t xml:space="preserve">供应商全称（加盖CA电子公章）</w:t>
      </w:r>
      <w:r>
        <w:rPr>
          <w:rFonts w:hint="eastAsia" w:ascii="宋体" w:hAnsi="宋体"/>
          <w:sz w:val="28"/>
          <w:szCs w:val="28"/>
          <w:shd w:val="clear" w:color="auto" w:fill="ffffff"/>
        </w:rPr>
        <w:t xml:space="preserve">：</w:t>
      </w:r>
      <w:r/>
    </w:p>
    <w:p>
      <w:pPr>
        <w:jc w:val="left"/>
        <w:spacing w:line="360" w:lineRule="atLeast"/>
        <w:shd w:val="clear" w:color="auto" w:fill="ffffff"/>
        <w:widowControl/>
        <w:rPr>
          <w:rFonts w:ascii="宋体"/>
          <w:sz w:val="28"/>
          <w:szCs w:val="28"/>
          <w:shd w:val="clear" w:color="auto" w:fill="ffffff"/>
        </w:rPr>
      </w:pPr>
      <w:r>
        <w:rPr>
          <w:rFonts w:hint="eastAsia" w:ascii="宋体" w:hAnsi="宋体"/>
          <w:sz w:val="28"/>
          <w:szCs w:val="28"/>
          <w:shd w:val="clear" w:color="auto" w:fill="ffffff"/>
        </w:rPr>
        <w:t xml:space="preserve">日期：</w:t>
      </w:r>
      <w:r/>
    </w:p>
    <w:p>
      <w:pPr>
        <w:pStyle w:val="927"/>
        <w:ind w:firstLine="0"/>
        <w:jc w:val="center"/>
        <w:rPr>
          <w:rFonts w:hint="eastAsia" w:ascii="宋体" w:hAnsi="宋体" w:cs="仿宋"/>
          <w:b/>
          <w:bCs/>
          <w:sz w:val="32"/>
          <w:szCs w:val="32"/>
        </w:rPr>
      </w:pPr>
      <w:r>
        <w:rPr>
          <w:rFonts w:hint="eastAsia" w:ascii="宋体" w:hAnsi="宋体" w:cs="仿宋"/>
          <w:b/>
          <w:bCs/>
          <w:sz w:val="32"/>
          <w:szCs w:val="32"/>
        </w:rPr>
      </w:r>
      <w:r/>
    </w:p>
    <w:p>
      <w:pPr>
        <w:pStyle w:val="927"/>
        <w:ind w:firstLine="0"/>
        <w:jc w:val="center"/>
        <w:rPr>
          <w:rFonts w:hint="eastAsia" w:ascii="宋体" w:hAnsi="宋体" w:cs="仿宋"/>
          <w:b/>
          <w:bCs/>
          <w:sz w:val="32"/>
          <w:szCs w:val="32"/>
        </w:rPr>
      </w:pPr>
      <w:r>
        <w:rPr>
          <w:rFonts w:hint="eastAsia" w:ascii="宋体" w:hAnsi="宋体" w:cs="仿宋"/>
          <w:b/>
          <w:bCs/>
          <w:sz w:val="32"/>
          <w:szCs w:val="32"/>
        </w:rPr>
      </w:r>
      <w:r/>
    </w:p>
    <w:p>
      <w:pPr>
        <w:pStyle w:val="927"/>
        <w:ind w:firstLine="0"/>
        <w:jc w:val="center"/>
        <w:rPr>
          <w:rFonts w:hint="eastAsia" w:ascii="宋体" w:hAnsi="宋体" w:cs="仿宋"/>
          <w:b/>
          <w:bCs/>
          <w:sz w:val="32"/>
          <w:szCs w:val="32"/>
        </w:rPr>
      </w:pPr>
      <w:r>
        <w:rPr>
          <w:rFonts w:hint="eastAsia" w:ascii="宋体" w:hAnsi="宋体" w:cs="仿宋"/>
          <w:b/>
          <w:bCs/>
          <w:sz w:val="32"/>
          <w:szCs w:val="32"/>
        </w:rPr>
      </w:r>
      <w:r/>
    </w:p>
    <w:p>
      <w:pPr>
        <w:pStyle w:val="927"/>
        <w:ind w:firstLine="0"/>
        <w:jc w:val="center"/>
        <w:rPr>
          <w:rFonts w:hint="eastAsia" w:ascii="宋体" w:hAnsi="宋体" w:cs="仿宋"/>
          <w:b/>
          <w:bCs/>
          <w:sz w:val="32"/>
          <w:szCs w:val="32"/>
        </w:rPr>
      </w:pPr>
      <w:r>
        <w:rPr>
          <w:rFonts w:hint="eastAsia" w:ascii="宋体" w:hAnsi="宋体" w:cs="仿宋"/>
          <w:b/>
          <w:bCs/>
          <w:sz w:val="32"/>
          <w:szCs w:val="32"/>
        </w:rPr>
      </w:r>
      <w:r/>
    </w:p>
    <w:p>
      <w:pPr>
        <w:pStyle w:val="927"/>
        <w:ind w:firstLine="0"/>
        <w:jc w:val="center"/>
        <w:rPr>
          <w:rFonts w:hint="eastAsia" w:ascii="宋体" w:hAnsi="宋体" w:cs="仿宋"/>
          <w:b/>
          <w:bCs/>
          <w:sz w:val="32"/>
          <w:szCs w:val="32"/>
        </w:rPr>
      </w:pPr>
      <w:r>
        <w:rPr>
          <w:rFonts w:hint="eastAsia" w:ascii="宋体" w:hAnsi="宋体" w:cs="仿宋"/>
          <w:b/>
          <w:bCs/>
          <w:sz w:val="32"/>
          <w:szCs w:val="32"/>
        </w:rPr>
      </w:r>
      <w:r/>
    </w:p>
    <w:p>
      <w:pPr>
        <w:pStyle w:val="927"/>
        <w:ind w:firstLine="0"/>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sz w:val="24"/>
          <w:szCs w:val="24"/>
          <w:lang w:val="en-US" w:eastAsia="en-US"/>
        </w:rPr>
      </w:pPr>
      <w:r>
        <w:rPr>
          <w:rFonts w:hint="eastAsia"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rPr>
          <w:rFonts w:hint="eastAsia" w:ascii="Times New Roman" w:hAnsi="Times New Roman"/>
          <w:szCs w:val="21"/>
        </w:rPr>
      </w:pPr>
      <w:r/>
      <w:bookmarkStart w:id="193" w:name="_GoBack"/>
      <w:r/>
      <w:bookmarkEnd w:id="193"/>
      <w:r/>
      <w:bookmarkEnd w:id="178"/>
      <w:r/>
      <w:bookmarkEnd w:id="179"/>
      <w:r/>
      <w:bookmarkEnd w:id="189"/>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华文新魏">
    <w:panose1 w:val="02010800040101010101"/>
  </w:font>
  <w:font w:name="方正隶书_GBK">
    <w:panose1 w:val="020B0503020202020204"/>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905"/>
        <w:rFonts w:ascii="宋体" w:hAnsi="宋体"/>
      </w:rPr>
      <w:framePr w:wrap="around" w:vAnchor="text" w:hAnchor="margin" w:xAlign="center" w:y="1"/>
    </w:pPr>
    <w:r>
      <w:rPr>
        <w:rFonts w:ascii="宋体" w:hAnsi="宋体"/>
      </w:rPr>
      <w:fldChar w:fldCharType="begin"/>
    </w:r>
    <w:r>
      <w:rPr>
        <w:rStyle w:val="905"/>
        <w:rFonts w:ascii="宋体" w:hAnsi="宋体"/>
      </w:rPr>
      <w:instrText xml:space="preserve">PAGE  </w:instrText>
    </w:r>
    <w:r>
      <w:rPr>
        <w:rFonts w:ascii="宋体" w:hAnsi="宋体"/>
      </w:rPr>
      <w:fldChar w:fldCharType="separate"/>
    </w:r>
    <w:r>
      <w:rPr>
        <w:rStyle w:val="905"/>
        <w:rFonts w:ascii="宋体" w:hAnsi="宋体"/>
      </w:rPr>
      <w:t xml:space="preserve">３９</w:t>
    </w:r>
    <w:r>
      <w:rPr>
        <w:rFonts w:ascii="宋体" w:hAnsi="宋体"/>
      </w:rPr>
      <w:fldChar w:fldCharType="end"/>
    </w:r>
    <w:r/>
  </w:p>
  <w:p>
    <w:pPr>
      <w:pStyle w:val="97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905"/>
      </w:rPr>
      <w:framePr w:wrap="around" w:vAnchor="text" w:hAnchor="margin" w:xAlign="center" w:y="1"/>
    </w:pPr>
    <w:r>
      <w:fldChar w:fldCharType="begin"/>
    </w:r>
    <w:r>
      <w:rPr>
        <w:rStyle w:val="905"/>
      </w:rPr>
      <w:instrText xml:space="preserve">PAGE  </w:instrText>
    </w:r>
    <w:r>
      <w:fldChar w:fldCharType="separate"/>
    </w:r>
    <w:r>
      <w:rPr>
        <w:rStyle w:val="905"/>
      </w:rPr>
      <w:t xml:space="preserve">1</w:t>
    </w:r>
    <w:r>
      <w:fldChar w:fldCharType="end"/>
    </w:r>
    <w:r/>
  </w:p>
  <w:p>
    <w:pPr>
      <w:pStyle w:val="9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4"/>
      <w:isLgl w:val="false"/>
      <w:suff w:val="nothing"/>
      <w:lvlText w:val=""/>
      <w:lvlJc w:val="left"/>
      <w:pPr>
        <w:ind w:left="0" w:firstLine="0"/>
      </w:pPr>
      <w:rPr>
        <w:rFonts w:hint="eastAsia"/>
      </w:rPr>
    </w:lvl>
    <w:lvl w:ilvl="6">
      <w:start w:val="1"/>
      <w:numFmt w:val="decimal"/>
      <w:pStyle w:val="885"/>
      <w:isLgl w:val="false"/>
      <w:suff w:val="nothing"/>
      <w:lvlText w:val=""/>
      <w:lvlJc w:val="left"/>
      <w:pPr>
        <w:ind w:left="0" w:firstLine="0"/>
      </w:pPr>
      <w:rPr>
        <w:rFonts w:hint="eastAsia"/>
      </w:rPr>
    </w:lvl>
    <w:lvl w:ilvl="7">
      <w:start w:val="1"/>
      <w:numFmt w:val="decimal"/>
      <w:pStyle w:val="886"/>
      <w:isLgl w:val="false"/>
      <w:suff w:val="nothing"/>
      <w:lvlText w:val=""/>
      <w:lvlJc w:val="left"/>
      <w:pPr>
        <w:ind w:left="0" w:firstLine="0"/>
      </w:pPr>
      <w:rPr>
        <w:rFonts w:hint="eastAsia"/>
      </w:rPr>
    </w:lvl>
    <w:lvl w:ilvl="8">
      <w:start w:val="1"/>
      <w:numFmt w:val="decimal"/>
      <w:pStyle w:val="887"/>
      <w:isLgl w:val="false"/>
      <w:suff w:val="nothing"/>
      <w:lvlText w:val=""/>
      <w:lvlJc w:val="left"/>
      <w:pPr>
        <w:ind w:left="0" w:firstLine="0"/>
      </w:pPr>
      <w:rPr>
        <w:rFonts w:hint="eastAsia"/>
      </w:rPr>
    </w:lvl>
  </w:abstractNum>
  <w:abstractNum w:abstractNumId="5">
    <w:multiLevelType w:val="hybridMultilevel"/>
    <w:lvl w:ilvl="0">
      <w:start w:val="1"/>
      <w:numFmt w:val="decimal"/>
      <w:pStyle w:val="9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5"/>
  </w:num>
  <w:num w:numId="4">
    <w:abstractNumId w:val="6"/>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905"/>
    <w:uiPriority w:val="0"/>
    <w:qFormat/>
    <w:pPr>
      <w:jc w:val="both"/>
      <w:widowControl w:val="off"/>
    </w:pPr>
    <w:rPr>
      <w:rFonts w:hint="default" w:ascii="Calibri" w:hAnsi="Calibri" w:eastAsia="宋体" w:cs="Times New Roman"/>
      <w:sz w:val="21"/>
      <w:szCs w:val="22"/>
      <w:lang w:val="en-US" w:eastAsia="zh-CN" w:bidi="ar-SA"/>
    </w:rPr>
  </w:style>
  <w:style w:type="paragraph" w:styleId="695">
    <w:name w:val="Heading 1"/>
    <w:basedOn w:val="694"/>
    <w:next w:val="694"/>
    <w:link w:val="730"/>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1"/>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706"/>
    <w:link w:val="732"/>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3"/>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4"/>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5"/>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7"/>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38"/>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Normal Indent"/>
    <w:basedOn w:val="694"/>
    <w:uiPriority w:val="0"/>
    <w:qFormat/>
    <w:pPr>
      <w:ind w:firstLine="420"/>
    </w:pPr>
    <w:rPr>
      <w:szCs w:val="21"/>
    </w:rPr>
  </w:style>
  <w:style w:type="paragraph" w:styleId="707">
    <w:name w:val="toc 7"/>
    <w:basedOn w:val="694"/>
    <w:next w:val="694"/>
    <w:uiPriority w:val="39"/>
    <w:unhideWhenUsed/>
    <w:qFormat/>
    <w:pPr>
      <w:ind w:left="1701" w:right="0" w:firstLine="0"/>
      <w:spacing w:after="57"/>
    </w:pPr>
  </w:style>
  <w:style w:type="paragraph" w:styleId="708">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toc 5"/>
    <w:basedOn w:val="694"/>
    <w:next w:val="694"/>
    <w:uiPriority w:val="39"/>
    <w:unhideWhenUsed/>
    <w:qFormat/>
    <w:pPr>
      <w:ind w:left="1134" w:right="0" w:firstLine="0"/>
      <w:spacing w:after="57"/>
    </w:pPr>
  </w:style>
  <w:style w:type="paragraph" w:styleId="710">
    <w:name w:val="toc 3"/>
    <w:basedOn w:val="694"/>
    <w:next w:val="694"/>
    <w:uiPriority w:val="39"/>
    <w:unhideWhenUsed/>
    <w:qFormat/>
    <w:pPr>
      <w:ind w:left="567" w:right="0" w:firstLine="0"/>
      <w:spacing w:after="57"/>
    </w:pPr>
  </w:style>
  <w:style w:type="paragraph" w:styleId="711">
    <w:name w:val="Plain Text"/>
    <w:basedOn w:val="694"/>
    <w:uiPriority w:val="0"/>
    <w:qFormat/>
    <w:rPr>
      <w:rFonts w:ascii="宋体" w:hAnsi="Courier New" w:cs="Courier New"/>
      <w:szCs w:val="21"/>
    </w:rPr>
  </w:style>
  <w:style w:type="paragraph" w:styleId="712">
    <w:name w:val="toc 8"/>
    <w:basedOn w:val="694"/>
    <w:next w:val="694"/>
    <w:uiPriority w:val="39"/>
    <w:unhideWhenUsed/>
    <w:qFormat/>
    <w:pPr>
      <w:ind w:left="1984" w:right="0" w:firstLine="0"/>
      <w:spacing w:after="57"/>
    </w:pPr>
  </w:style>
  <w:style w:type="paragraph" w:styleId="713">
    <w:name w:val="endnote text"/>
    <w:basedOn w:val="694"/>
    <w:link w:val="876"/>
    <w:uiPriority w:val="99"/>
    <w:semiHidden/>
    <w:unhideWhenUsed/>
    <w:qFormat/>
    <w:pPr>
      <w:spacing w:after="0" w:line="240" w:lineRule="auto"/>
    </w:pPr>
    <w:rPr>
      <w:sz w:val="20"/>
    </w:rPr>
  </w:style>
  <w:style w:type="paragraph" w:styleId="714">
    <w:name w:val="Footer"/>
    <w:basedOn w:val="694"/>
    <w:link w:val="749"/>
    <w:uiPriority w:val="99"/>
    <w:unhideWhenUsed/>
    <w:qFormat/>
    <w:pPr>
      <w:spacing w:after="0" w:line="240" w:lineRule="auto"/>
      <w:tabs>
        <w:tab w:val="center" w:pos="7143" w:leader="none"/>
        <w:tab w:val="right" w:pos="14287" w:leader="none"/>
      </w:tabs>
    </w:pPr>
  </w:style>
  <w:style w:type="paragraph" w:styleId="715">
    <w:name w:val="Header"/>
    <w:basedOn w:val="694"/>
    <w:link w:val="747"/>
    <w:uiPriority w:val="99"/>
    <w:unhideWhenUsed/>
    <w:qFormat/>
    <w:pPr>
      <w:spacing w:after="0" w:line="240" w:lineRule="auto"/>
      <w:tabs>
        <w:tab w:val="center" w:pos="7143" w:leader="none"/>
        <w:tab w:val="right" w:pos="14287" w:leader="none"/>
      </w:tabs>
    </w:pPr>
  </w:style>
  <w:style w:type="paragraph" w:styleId="716">
    <w:name w:val="toc 1"/>
    <w:basedOn w:val="694"/>
    <w:next w:val="694"/>
    <w:uiPriority w:val="39"/>
    <w:unhideWhenUsed/>
    <w:qFormat/>
    <w:pPr>
      <w:ind w:left="0" w:right="0" w:firstLine="0"/>
      <w:spacing w:after="57"/>
    </w:pPr>
  </w:style>
  <w:style w:type="paragraph" w:styleId="717">
    <w:name w:val="toc 4"/>
    <w:basedOn w:val="694"/>
    <w:next w:val="694"/>
    <w:uiPriority w:val="39"/>
    <w:unhideWhenUsed/>
    <w:qFormat/>
    <w:pPr>
      <w:ind w:left="850" w:right="0" w:firstLine="0"/>
      <w:spacing w:after="57"/>
    </w:pPr>
  </w:style>
  <w:style w:type="paragraph" w:styleId="718">
    <w:name w:val="Subtitle"/>
    <w:basedOn w:val="694"/>
    <w:next w:val="694"/>
    <w:link w:val="742"/>
    <w:uiPriority w:val="11"/>
    <w:qFormat/>
    <w:pPr>
      <w:spacing w:before="200" w:after="200"/>
    </w:pPr>
    <w:rPr>
      <w:sz w:val="24"/>
      <w:szCs w:val="24"/>
    </w:rPr>
  </w:style>
  <w:style w:type="paragraph" w:styleId="719">
    <w:name w:val="footnote text"/>
    <w:basedOn w:val="694"/>
    <w:link w:val="875"/>
    <w:uiPriority w:val="99"/>
    <w:semiHidden/>
    <w:unhideWhenUsed/>
    <w:qFormat/>
    <w:pPr>
      <w:spacing w:after="40" w:line="240" w:lineRule="auto"/>
    </w:pPr>
    <w:rPr>
      <w:sz w:val="18"/>
    </w:rPr>
  </w:style>
  <w:style w:type="paragraph" w:styleId="720">
    <w:name w:val="toc 6"/>
    <w:basedOn w:val="694"/>
    <w:next w:val="694"/>
    <w:uiPriority w:val="39"/>
    <w:unhideWhenUsed/>
    <w:qFormat/>
    <w:pPr>
      <w:ind w:left="1417" w:right="0" w:firstLine="0"/>
      <w:spacing w:after="57"/>
    </w:pPr>
  </w:style>
  <w:style w:type="paragraph" w:styleId="721">
    <w:name w:val="table of figures"/>
    <w:basedOn w:val="694"/>
    <w:next w:val="694"/>
    <w:uiPriority w:val="99"/>
    <w:unhideWhenUsed/>
    <w:qFormat/>
    <w:pPr>
      <w:spacing w:after="0" w:afterAutospacing="0"/>
    </w:pPr>
  </w:style>
  <w:style w:type="paragraph" w:styleId="722">
    <w:name w:val="toc 2"/>
    <w:basedOn w:val="694"/>
    <w:next w:val="694"/>
    <w:uiPriority w:val="39"/>
    <w:unhideWhenUsed/>
    <w:qFormat/>
    <w:pPr>
      <w:ind w:left="283" w:right="0" w:firstLine="0"/>
      <w:spacing w:after="57"/>
    </w:pPr>
  </w:style>
  <w:style w:type="paragraph" w:styleId="723">
    <w:name w:val="toc 9"/>
    <w:basedOn w:val="694"/>
    <w:next w:val="694"/>
    <w:uiPriority w:val="39"/>
    <w:unhideWhenUsed/>
    <w:qFormat/>
    <w:pPr>
      <w:ind w:left="2268" w:right="0" w:firstLine="0"/>
      <w:spacing w:after="57"/>
    </w:pPr>
  </w:style>
  <w:style w:type="paragraph" w:styleId="724">
    <w:name w:val="Normal (Web)"/>
    <w:basedOn w:val="694"/>
    <w:uiPriority w:val="99"/>
    <w:qFormat/>
    <w:pPr>
      <w:jc w:val="left"/>
      <w:spacing w:before="100" w:beforeAutospacing="1" w:after="100" w:afterAutospacing="1"/>
      <w:widowControl/>
    </w:pPr>
    <w:rPr>
      <w:rFonts w:ascii="宋体" w:hAnsi="宋体" w:cs="宋体"/>
      <w:sz w:val="24"/>
      <w:szCs w:val="24"/>
    </w:rPr>
  </w:style>
  <w:style w:type="paragraph" w:styleId="725">
    <w:name w:val="Title"/>
    <w:basedOn w:val="694"/>
    <w:next w:val="694"/>
    <w:link w:val="741"/>
    <w:uiPriority w:val="10"/>
    <w:qFormat/>
    <w:pPr>
      <w:contextualSpacing/>
      <w:spacing w:before="300" w:after="200"/>
    </w:pPr>
    <w:rPr>
      <w:sz w:val="48"/>
      <w:szCs w:val="48"/>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rPr>
      <w:color w:val="0000ff" w:themeColor="hyperlink"/>
      <w:u w:val="single"/>
      <w14:textFill>
        <w14:solidFill>
          <w14:schemeClr w14:val="hlink"/>
        </w14:solidFill>
      </w14:textFill>
    </w:rPr>
  </w:style>
  <w:style w:type="character" w:styleId="729">
    <w:name w:val="footnote reference"/>
    <w:uiPriority w:val="99"/>
    <w:unhideWhenUsed/>
    <w:rPr>
      <w:vertAlign w:val="superscript"/>
    </w:rPr>
  </w:style>
  <w:style w:type="character" w:styleId="730" w:customStyle="1">
    <w:name w:val="Heading 1 Char"/>
    <w:link w:val="695"/>
    <w:uiPriority w:val="9"/>
    <w:rPr>
      <w:rFonts w:ascii="Arial" w:hAnsi="Arial" w:eastAsia="Arial" w:cs="Arial"/>
      <w:sz w:val="40"/>
      <w:szCs w:val="40"/>
    </w:rPr>
  </w:style>
  <w:style w:type="character" w:styleId="731" w:customStyle="1">
    <w:name w:val="Heading 2 Char"/>
    <w:link w:val="696"/>
    <w:uiPriority w:val="9"/>
    <w:rPr>
      <w:rFonts w:ascii="Arial" w:hAnsi="Arial" w:eastAsia="Arial" w:cs="Arial"/>
      <w:sz w:val="34"/>
    </w:rPr>
  </w:style>
  <w:style w:type="character" w:styleId="732" w:customStyle="1">
    <w:name w:val="Heading 3 Char"/>
    <w:link w:val="697"/>
    <w:uiPriority w:val="9"/>
    <w:rPr>
      <w:rFonts w:ascii="Arial" w:hAnsi="Arial" w:eastAsia="Arial" w:cs="Arial"/>
      <w:sz w:val="30"/>
      <w:szCs w:val="30"/>
    </w:rPr>
  </w:style>
  <w:style w:type="character" w:styleId="733" w:customStyle="1">
    <w:name w:val="Heading 4 Char"/>
    <w:link w:val="698"/>
    <w:uiPriority w:val="9"/>
    <w:rPr>
      <w:rFonts w:ascii="Arial" w:hAnsi="Arial" w:eastAsia="Arial" w:cs="Arial"/>
      <w:b/>
      <w:bCs/>
      <w:sz w:val="26"/>
      <w:szCs w:val="26"/>
    </w:rPr>
  </w:style>
  <w:style w:type="character" w:styleId="734" w:customStyle="1">
    <w:name w:val="Heading 5 Char"/>
    <w:link w:val="699"/>
    <w:uiPriority w:val="9"/>
    <w:rPr>
      <w:rFonts w:ascii="Arial" w:hAnsi="Arial" w:eastAsia="Arial" w:cs="Arial"/>
      <w:b/>
      <w:bCs/>
      <w:sz w:val="24"/>
      <w:szCs w:val="24"/>
    </w:rPr>
  </w:style>
  <w:style w:type="character" w:styleId="735" w:customStyle="1">
    <w:name w:val="Heading 6 Char"/>
    <w:link w:val="700"/>
    <w:uiPriority w:val="9"/>
    <w:rPr>
      <w:rFonts w:ascii="Arial" w:hAnsi="Arial" w:eastAsia="Arial" w:cs="Arial"/>
      <w:b/>
      <w:bCs/>
      <w:sz w:val="22"/>
      <w:szCs w:val="22"/>
    </w:rPr>
  </w:style>
  <w:style w:type="character" w:styleId="736" w:customStyle="1">
    <w:name w:val="Heading 7 Char"/>
    <w:link w:val="701"/>
    <w:uiPriority w:val="9"/>
    <w:rPr>
      <w:rFonts w:ascii="Arial" w:hAnsi="Arial" w:eastAsia="Arial" w:cs="Arial"/>
      <w:b/>
      <w:bCs/>
      <w:i/>
      <w:iCs/>
      <w:sz w:val="22"/>
      <w:szCs w:val="22"/>
    </w:rPr>
  </w:style>
  <w:style w:type="character" w:styleId="737" w:customStyle="1">
    <w:name w:val="Heading 8 Char"/>
    <w:link w:val="702"/>
    <w:uiPriority w:val="9"/>
    <w:rPr>
      <w:rFonts w:ascii="Arial" w:hAnsi="Arial" w:eastAsia="Arial" w:cs="Arial"/>
      <w:i/>
      <w:iCs/>
      <w:sz w:val="22"/>
      <w:szCs w:val="22"/>
    </w:rPr>
  </w:style>
  <w:style w:type="character" w:styleId="738" w:customStyle="1">
    <w:name w:val="Heading 9 Char"/>
    <w:link w:val="703"/>
    <w:uiPriority w:val="9"/>
    <w:qFormat/>
    <w:rPr>
      <w:rFonts w:ascii="Arial" w:hAnsi="Arial" w:eastAsia="Arial" w:cs="Arial"/>
      <w:i/>
      <w:iCs/>
      <w:sz w:val="21"/>
      <w:szCs w:val="21"/>
    </w:rPr>
  </w:style>
  <w:style w:type="paragraph" w:styleId="739">
    <w:name w:val="List Paragraph"/>
    <w:basedOn w:val="694"/>
    <w:uiPriority w:val="34"/>
    <w:qFormat/>
    <w:pPr>
      <w:contextualSpacing/>
      <w:ind w:left="720"/>
    </w:pPr>
  </w:style>
  <w:style w:type="paragraph" w:styleId="740">
    <w:name w:val="No Spacing"/>
    <w:uiPriority w:val="1"/>
    <w:qFormat/>
    <w:pPr>
      <w:spacing w:before="0" w:after="0" w:line="240" w:lineRule="auto"/>
    </w:pPr>
    <w:rPr>
      <w:rFonts w:hint="default" w:ascii="Calibri" w:hAnsi="Calibri" w:eastAsia="宋体" w:cs="Times New Roman"/>
    </w:rPr>
  </w:style>
  <w:style w:type="character" w:styleId="741" w:customStyle="1">
    <w:name w:val="Title Char"/>
    <w:link w:val="725"/>
    <w:uiPriority w:val="10"/>
    <w:qFormat/>
    <w:rPr>
      <w:sz w:val="48"/>
      <w:szCs w:val="48"/>
    </w:rPr>
  </w:style>
  <w:style w:type="character" w:styleId="742" w:customStyle="1">
    <w:name w:val="Subtitle Char"/>
    <w:link w:val="718"/>
    <w:uiPriority w:val="11"/>
    <w:qFormat/>
    <w:rPr>
      <w:sz w:val="24"/>
      <w:szCs w:val="24"/>
    </w:rPr>
  </w:style>
  <w:style w:type="paragraph" w:styleId="743">
    <w:name w:val="Quote"/>
    <w:basedOn w:val="694"/>
    <w:next w:val="694"/>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94"/>
    <w:next w:val="694"/>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link w:val="715"/>
    <w:uiPriority w:val="99"/>
    <w:qFormat/>
  </w:style>
  <w:style w:type="character" w:styleId="748" w:customStyle="1">
    <w:name w:val="Footer Char"/>
    <w:link w:val="714"/>
    <w:uiPriority w:val="99"/>
    <w:qFormat/>
  </w:style>
  <w:style w:type="character" w:styleId="749" w:customStyle="1">
    <w:name w:val="Caption Char"/>
    <w:link w:val="714"/>
    <w:uiPriority w:val="99"/>
    <w:qFormat/>
  </w:style>
  <w:style w:type="table" w:styleId="7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Footnote Text Char"/>
    <w:link w:val="719"/>
    <w:uiPriority w:val="99"/>
    <w:qFormat/>
    <w:rPr>
      <w:sz w:val="18"/>
    </w:rPr>
  </w:style>
  <w:style w:type="character" w:styleId="876" w:customStyle="1">
    <w:name w:val="Endnote Text Char"/>
    <w:link w:val="713"/>
    <w:uiPriority w:val="99"/>
    <w:rPr>
      <w:sz w:val="20"/>
    </w:rPr>
  </w:style>
  <w:style w:type="paragraph" w:styleId="877" w:customStyle="1">
    <w:name w:val="TOC Heading"/>
    <w:uiPriority w:val="39"/>
    <w:unhideWhenUsed/>
    <w:qFormat/>
    <w:rPr>
      <w:rFonts w:hint="default" w:ascii="Calibri" w:hAnsi="Calibri" w:eastAsia="宋体" w:cs="Times New Roman"/>
    </w:rPr>
  </w:style>
  <w:style w:type="paragraph" w:styleId="878" w:customStyle="1">
    <w:name w:val="标题 11"/>
    <w:basedOn w:val="694"/>
    <w:next w:val="694"/>
    <w:link w:val="890"/>
    <w:uiPriority w:val="0"/>
    <w:qFormat/>
    <w:pPr>
      <w:jc w:val="center"/>
      <w:keepNext/>
      <w:outlineLvl w:val="0"/>
    </w:pPr>
    <w:rPr>
      <w:rFonts w:ascii="楷体_GB2312" w:hAnsi="Times New Roman" w:eastAsia="楷体_GB2312" w:cs="Times New Roman"/>
      <w:sz w:val="28"/>
      <w:szCs w:val="28"/>
    </w:rPr>
  </w:style>
  <w:style w:type="paragraph" w:styleId="879" w:customStyle="1">
    <w:name w:val="标题 21"/>
    <w:basedOn w:val="694"/>
    <w:next w:val="880"/>
    <w:link w:val="89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0" w:customStyle="1">
    <w:name w:val="正文缩进1"/>
    <w:basedOn w:val="694"/>
    <w:link w:val="901"/>
    <w:uiPriority w:val="0"/>
    <w:qFormat/>
    <w:pPr>
      <w:ind w:firstLine="420"/>
    </w:pPr>
    <w:rPr>
      <w:szCs w:val="21"/>
    </w:rPr>
  </w:style>
  <w:style w:type="paragraph" w:styleId="881" w:customStyle="1">
    <w:name w:val="标题 31"/>
    <w:basedOn w:val="694"/>
    <w:next w:val="880"/>
    <w:link w:val="89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2" w:customStyle="1">
    <w:name w:val="标题 41"/>
    <w:basedOn w:val="694"/>
    <w:next w:val="880"/>
    <w:link w:val="893"/>
    <w:uiPriority w:val="0"/>
    <w:qFormat/>
    <w:pPr>
      <w:keepLines/>
      <w:keepNext/>
      <w:spacing w:before="280" w:after="290" w:line="376" w:lineRule="auto"/>
      <w:outlineLvl w:val="3"/>
    </w:pPr>
    <w:rPr>
      <w:rFonts w:ascii="Arial" w:hAnsi="Arial" w:eastAsia="黑体" w:cs="Arial"/>
      <w:b/>
      <w:bCs/>
      <w:sz w:val="28"/>
      <w:szCs w:val="28"/>
    </w:rPr>
  </w:style>
  <w:style w:type="paragraph" w:styleId="883" w:customStyle="1">
    <w:name w:val="标题 51"/>
    <w:basedOn w:val="694"/>
    <w:next w:val="880"/>
    <w:link w:val="894"/>
    <w:uiPriority w:val="0"/>
    <w:qFormat/>
    <w:pPr>
      <w:keepNext/>
      <w:outlineLvl w:val="4"/>
    </w:pPr>
    <w:rPr>
      <w:rFonts w:ascii="宋体" w:hAnsi="Times New Roman" w:eastAsia="宋体" w:cs="Times New Roman"/>
      <w:color w:val="000000"/>
      <w:sz w:val="28"/>
      <w:szCs w:val="28"/>
    </w:rPr>
  </w:style>
  <w:style w:type="paragraph" w:styleId="884" w:customStyle="1">
    <w:name w:val="标题 61"/>
    <w:basedOn w:val="694"/>
    <w:next w:val="694"/>
    <w:link w:val="89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5" w:customStyle="1">
    <w:name w:val="标题 71"/>
    <w:basedOn w:val="694"/>
    <w:next w:val="694"/>
    <w:link w:val="89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6" w:customStyle="1">
    <w:name w:val="标题 81"/>
    <w:basedOn w:val="694"/>
    <w:next w:val="694"/>
    <w:link w:val="89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7" w:customStyle="1">
    <w:name w:val="标题 91"/>
    <w:basedOn w:val="694"/>
    <w:next w:val="694"/>
    <w:link w:val="89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8" w:customStyle="1">
    <w:name w:val="默认段落字体1"/>
    <w:link w:val="694"/>
    <w:uiPriority w:val="1"/>
    <w:semiHidden/>
    <w:unhideWhenUsed/>
    <w:qFormat/>
  </w:style>
  <w:style w:type="table" w:styleId="889" w:customStyle="1">
    <w:name w:val="普通表格1"/>
    <w:uiPriority w:val="99"/>
    <w:semiHidden/>
    <w:unhideWhenUsed/>
    <w:tblPr/>
  </w:style>
  <w:style w:type="character" w:styleId="890" w:customStyle="1">
    <w:name w:val="标题 1 Char"/>
    <w:link w:val="878"/>
    <w:uiPriority w:val="0"/>
    <w:rPr>
      <w:rFonts w:ascii="楷体_GB2312" w:hAnsi="Times New Roman" w:eastAsia="楷体_GB2312" w:cs="Times New Roman"/>
      <w:sz w:val="28"/>
      <w:szCs w:val="28"/>
    </w:rPr>
  </w:style>
  <w:style w:type="character" w:styleId="891" w:customStyle="1">
    <w:name w:val="标题 2 Char"/>
    <w:link w:val="879"/>
    <w:uiPriority w:val="0"/>
    <w:rPr>
      <w:rFonts w:ascii="Arial" w:hAnsi="Arial" w:eastAsia="幼圆" w:cs="Arial"/>
      <w:b/>
      <w:bCs/>
      <w:sz w:val="44"/>
      <w:szCs w:val="44"/>
    </w:rPr>
  </w:style>
  <w:style w:type="character" w:styleId="892" w:customStyle="1">
    <w:name w:val="标题 3 Char"/>
    <w:link w:val="881"/>
    <w:uiPriority w:val="0"/>
    <w:qFormat/>
    <w:rPr>
      <w:rFonts w:ascii="Times New Roman" w:hAnsi="Times New Roman" w:eastAsia="宋体" w:cs="Times New Roman"/>
      <w:b/>
      <w:bCs/>
      <w:sz w:val="32"/>
      <w:szCs w:val="32"/>
    </w:rPr>
  </w:style>
  <w:style w:type="character" w:styleId="893" w:customStyle="1">
    <w:name w:val="标题 4 Char"/>
    <w:link w:val="882"/>
    <w:uiPriority w:val="0"/>
    <w:rPr>
      <w:rFonts w:ascii="Arial" w:hAnsi="Arial" w:eastAsia="黑体" w:cs="Arial"/>
      <w:b/>
      <w:bCs/>
      <w:sz w:val="28"/>
      <w:szCs w:val="28"/>
    </w:rPr>
  </w:style>
  <w:style w:type="character" w:styleId="894" w:customStyle="1">
    <w:name w:val="标题 5 Char"/>
    <w:link w:val="883"/>
    <w:uiPriority w:val="0"/>
    <w:rPr>
      <w:rFonts w:ascii="宋体" w:hAnsi="Times New Roman" w:eastAsia="宋体" w:cs="Times New Roman"/>
      <w:color w:val="000000"/>
      <w:sz w:val="28"/>
      <w:szCs w:val="28"/>
    </w:rPr>
  </w:style>
  <w:style w:type="character" w:styleId="895" w:customStyle="1">
    <w:name w:val="标题 6 Char"/>
    <w:link w:val="884"/>
    <w:uiPriority w:val="0"/>
    <w:rPr>
      <w:rFonts w:ascii="Arial" w:hAnsi="Arial" w:eastAsia="黑体" w:cs="Times New Roman"/>
      <w:b/>
      <w:bCs/>
      <w:sz w:val="24"/>
      <w:szCs w:val="24"/>
    </w:rPr>
  </w:style>
  <w:style w:type="character" w:styleId="896" w:customStyle="1">
    <w:name w:val="标题 7 Char"/>
    <w:link w:val="885"/>
    <w:uiPriority w:val="0"/>
    <w:rPr>
      <w:rFonts w:ascii="Times New Roman" w:hAnsi="Times New Roman" w:eastAsia="宋体" w:cs="Times New Roman"/>
      <w:b/>
      <w:bCs/>
      <w:sz w:val="24"/>
      <w:szCs w:val="24"/>
    </w:rPr>
  </w:style>
  <w:style w:type="character" w:styleId="897" w:customStyle="1">
    <w:name w:val="标题 8 Char"/>
    <w:link w:val="886"/>
    <w:uiPriority w:val="0"/>
    <w:qFormat/>
    <w:rPr>
      <w:rFonts w:ascii="Arial" w:hAnsi="Arial" w:eastAsia="黑体" w:cs="Times New Roman"/>
      <w:sz w:val="24"/>
      <w:szCs w:val="24"/>
    </w:rPr>
  </w:style>
  <w:style w:type="character" w:styleId="898" w:customStyle="1">
    <w:name w:val="标题 9 Char"/>
    <w:link w:val="887"/>
    <w:uiPriority w:val="0"/>
    <w:qFormat/>
    <w:rPr>
      <w:rFonts w:ascii="Arial" w:hAnsi="Arial" w:eastAsia="黑体" w:cs="Times New Roman"/>
      <w:szCs w:val="21"/>
    </w:rPr>
  </w:style>
  <w:style w:type="character" w:styleId="899" w:customStyle="1">
    <w:name w:val="访问过的超链接"/>
    <w:link w:val="694"/>
    <w:uiPriority w:val="0"/>
    <w:qFormat/>
    <w:rPr>
      <w:color w:val="800080"/>
      <w:u w:val="single"/>
    </w:rPr>
  </w:style>
  <w:style w:type="character" w:styleId="900" w:customStyle="1">
    <w:name w:val="font5 Char"/>
    <w:link w:val="694"/>
    <w:uiPriority w:val="0"/>
    <w:qFormat/>
    <w:rPr>
      <w:rFonts w:ascii="宋体" w:hAnsi="宋体" w:eastAsia="宋体"/>
      <w:sz w:val="28"/>
      <w:szCs w:val="28"/>
      <w:lang w:val="en-US" w:eastAsia="zh-CN" w:bidi="ar-SA"/>
    </w:rPr>
  </w:style>
  <w:style w:type="character" w:styleId="901" w:customStyle="1">
    <w:name w:val="正文缩进 Char"/>
    <w:link w:val="880"/>
    <w:uiPriority w:val="0"/>
    <w:rPr>
      <w:szCs w:val="21"/>
    </w:rPr>
  </w:style>
  <w:style w:type="character" w:styleId="902" w:customStyle="1">
    <w:name w:val="批注引用1"/>
    <w:link w:val="694"/>
    <w:uiPriority w:val="0"/>
    <w:semiHidden/>
    <w:qFormat/>
    <w:rPr>
      <w:sz w:val="21"/>
      <w:szCs w:val="21"/>
    </w:rPr>
  </w:style>
  <w:style w:type="character" w:styleId="903" w:customStyle="1">
    <w:name w:val="要点1"/>
    <w:link w:val="694"/>
    <w:uiPriority w:val="0"/>
    <w:qFormat/>
    <w:rPr>
      <w:b/>
      <w:bCs/>
    </w:rPr>
  </w:style>
  <w:style w:type="character" w:styleId="904" w:customStyle="1">
    <w:name w:val="超链接1"/>
    <w:link w:val="694"/>
    <w:uiPriority w:val="0"/>
    <w:qFormat/>
    <w:rPr>
      <w:color w:val="0000ff"/>
      <w:u w:val="single"/>
    </w:rPr>
  </w:style>
  <w:style w:type="character" w:styleId="905" w:customStyle="1">
    <w:name w:val="页码1"/>
    <w:link w:val="694"/>
    <w:uiPriority w:val="0"/>
  </w:style>
  <w:style w:type="character" w:styleId="906" w:customStyle="1">
    <w:name w:val="二级目录 Char"/>
    <w:link w:val="907"/>
    <w:uiPriority w:val="0"/>
    <w:qFormat/>
    <w:rPr>
      <w:b/>
      <w:sz w:val="30"/>
      <w:szCs w:val="28"/>
    </w:rPr>
  </w:style>
  <w:style w:type="paragraph" w:styleId="907" w:customStyle="1">
    <w:name w:val="二级目录"/>
    <w:next w:val="694"/>
    <w:link w:val="906"/>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08" w:customStyle="1">
    <w:name w:val="列出段落 Char"/>
    <w:link w:val="909"/>
    <w:uiPriority w:val="0"/>
    <w:qFormat/>
    <w:rPr>
      <w:rFonts w:ascii="Calibri" w:hAnsi="Calibri"/>
      <w:sz w:val="24"/>
      <w:szCs w:val="24"/>
      <w:lang w:eastAsia="en-US" w:bidi="en-US"/>
    </w:rPr>
  </w:style>
  <w:style w:type="paragraph" w:styleId="909" w:customStyle="1">
    <w:name w:val="列出段落1"/>
    <w:basedOn w:val="694"/>
    <w:link w:val="908"/>
    <w:uiPriority w:val="0"/>
    <w:qFormat/>
    <w:pPr>
      <w:contextualSpacing/>
      <w:ind w:left="720"/>
      <w:jc w:val="left"/>
      <w:widowControl/>
    </w:pPr>
    <w:rPr>
      <w:rFonts w:ascii="Calibri" w:hAnsi="Calibri"/>
      <w:sz w:val="24"/>
      <w:szCs w:val="24"/>
      <w:lang w:eastAsia="en-US" w:bidi="en-US"/>
    </w:rPr>
  </w:style>
  <w:style w:type="paragraph" w:styleId="910" w:customStyle="1">
    <w:name w:val="Body Text(ch)"/>
    <w:basedOn w:val="694"/>
    <w:next w:val="911"/>
    <w:uiPriority w:val="0"/>
    <w:pPr>
      <w:spacing w:after="120"/>
    </w:pPr>
    <w:rPr>
      <w:rFonts w:ascii="宋体" w:hAnsi="Arial" w:eastAsia="宋体" w:cs="Times New Roman"/>
      <w:bCs/>
      <w:iCs/>
      <w:szCs w:val="24"/>
    </w:rPr>
  </w:style>
  <w:style w:type="paragraph" w:styleId="911" w:customStyle="1">
    <w:name w:val="正文文本1"/>
    <w:basedOn w:val="694"/>
    <w:link w:val="916"/>
    <w:uiPriority w:val="0"/>
    <w:rPr>
      <w:rFonts w:ascii="楷体_GB2312" w:hAnsi="Arial" w:eastAsia="楷体_GB2312" w:cs="Times New Roman"/>
      <w:sz w:val="28"/>
      <w:szCs w:val="28"/>
    </w:rPr>
  </w:style>
  <w:style w:type="paragraph" w:styleId="912" w:customStyle="1">
    <w:name w:val="目录 91"/>
    <w:basedOn w:val="694"/>
    <w:next w:val="694"/>
    <w:uiPriority w:val="0"/>
    <w:semiHidden/>
    <w:pPr>
      <w:ind w:left="1680"/>
      <w:jc w:val="left"/>
    </w:pPr>
    <w:rPr>
      <w:rFonts w:ascii="Times New Roman" w:hAnsi="Times New Roman" w:eastAsia="宋体" w:cs="Times New Roman"/>
      <w:szCs w:val="21"/>
    </w:rPr>
  </w:style>
  <w:style w:type="paragraph" w:styleId="913" w:customStyle="1">
    <w:name w:val="xl27"/>
    <w:basedOn w:val="69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4" w:customStyle="1">
    <w:name w:val="正文文本缩进 21"/>
    <w:basedOn w:val="694"/>
    <w:link w:val="915"/>
    <w:uiPriority w:val="0"/>
    <w:pPr>
      <w:ind w:left="630" w:firstLine="645"/>
    </w:pPr>
    <w:rPr>
      <w:rFonts w:ascii="Arial" w:hAnsi="Arial" w:eastAsia="仿宋_GB2312" w:cs="Arial"/>
      <w:sz w:val="32"/>
      <w:szCs w:val="32"/>
    </w:rPr>
  </w:style>
  <w:style w:type="character" w:styleId="915" w:customStyle="1">
    <w:name w:val="正文文本缩进 2 Char"/>
    <w:link w:val="914"/>
    <w:uiPriority w:val="0"/>
    <w:rPr>
      <w:rFonts w:ascii="Arial" w:hAnsi="Arial" w:eastAsia="仿宋_GB2312" w:cs="Arial"/>
      <w:sz w:val="32"/>
      <w:szCs w:val="32"/>
    </w:rPr>
  </w:style>
  <w:style w:type="character" w:styleId="916" w:customStyle="1">
    <w:name w:val="正文文本 Char"/>
    <w:link w:val="911"/>
    <w:uiPriority w:val="0"/>
    <w:rPr>
      <w:rFonts w:ascii="楷体_GB2312" w:hAnsi="Arial" w:eastAsia="楷体_GB2312" w:cs="Times New Roman"/>
      <w:sz w:val="28"/>
      <w:szCs w:val="28"/>
    </w:rPr>
  </w:style>
  <w:style w:type="paragraph" w:styleId="917" w:customStyle="1">
    <w:name w:val="图表目录1"/>
    <w:basedOn w:val="694"/>
    <w:next w:val="694"/>
    <w:uiPriority w:val="0"/>
    <w:semiHidden/>
    <w:pPr>
      <w:ind w:left="840" w:hanging="420"/>
    </w:pPr>
    <w:rPr>
      <w:rFonts w:ascii="Times New Roman" w:hAnsi="Times New Roman" w:eastAsia="宋体" w:cs="Times New Roman"/>
      <w:szCs w:val="21"/>
    </w:rPr>
  </w:style>
  <w:style w:type="paragraph" w:styleId="918" w:customStyle="1">
    <w:name w:val="xl2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9" w:customStyle="1">
    <w:name w:val="Char"/>
    <w:basedOn w:val="694"/>
    <w:uiPriority w:val="0"/>
    <w:pPr>
      <w:ind w:firstLine="200"/>
      <w:tabs>
        <w:tab w:val="left" w:pos="360" w:leader="none"/>
      </w:tabs>
    </w:pPr>
    <w:rPr>
      <w:rFonts w:ascii="Times New Roman" w:hAnsi="Times New Roman" w:eastAsia="宋体" w:cs="Times New Roman"/>
      <w:sz w:val="28"/>
      <w:szCs w:val="30"/>
    </w:rPr>
  </w:style>
  <w:style w:type="paragraph" w:styleId="920" w:customStyle="1">
    <w:name w:val=" Char"/>
    <w:basedOn w:val="921"/>
    <w:uiPriority w:val="0"/>
    <w:qFormat/>
    <w:rPr>
      <w:rFonts w:ascii="Tahoma" w:hAnsi="Tahoma"/>
      <w:sz w:val="24"/>
      <w:szCs w:val="24"/>
    </w:rPr>
  </w:style>
  <w:style w:type="paragraph" w:styleId="921" w:customStyle="1">
    <w:name w:val="文档结构图1"/>
    <w:basedOn w:val="694"/>
    <w:link w:val="945"/>
    <w:uiPriority w:val="0"/>
    <w:semiHidden/>
    <w:qFormat/>
    <w:pPr>
      <w:shd w:val="clear" w:color="auto" w:fill="000080"/>
    </w:pPr>
    <w:rPr>
      <w:rFonts w:ascii="Times New Roman" w:hAnsi="Times New Roman" w:eastAsia="宋体" w:cs="Times New Roman"/>
      <w:szCs w:val="21"/>
    </w:rPr>
  </w:style>
  <w:style w:type="paragraph" w:styleId="922" w:customStyle="1">
    <w:name w:val="批注文字1"/>
    <w:basedOn w:val="694"/>
    <w:link w:val="923"/>
    <w:uiPriority w:val="0"/>
    <w:semiHidden/>
    <w:unhideWhenUsed/>
    <w:qFormat/>
    <w:pPr>
      <w:jc w:val="left"/>
    </w:pPr>
  </w:style>
  <w:style w:type="character" w:styleId="923" w:customStyle="1">
    <w:name w:val="批注文字 Char"/>
    <w:basedOn w:val="888"/>
    <w:link w:val="922"/>
    <w:uiPriority w:val="99"/>
    <w:semiHidden/>
    <w:qFormat/>
  </w:style>
  <w:style w:type="paragraph" w:styleId="924" w:customStyle="1">
    <w:name w:val="批注主题1"/>
    <w:basedOn w:val="922"/>
    <w:next w:val="922"/>
    <w:link w:val="925"/>
    <w:uiPriority w:val="0"/>
    <w:semiHidden/>
    <w:qFormat/>
    <w:rPr>
      <w:rFonts w:ascii="Times New Roman" w:hAnsi="Times New Roman" w:eastAsia="宋体" w:cs="Times New Roman"/>
      <w:b/>
      <w:bCs/>
      <w:szCs w:val="21"/>
    </w:rPr>
  </w:style>
  <w:style w:type="character" w:styleId="925" w:customStyle="1">
    <w:name w:val="批注主题 Char"/>
    <w:link w:val="924"/>
    <w:uiPriority w:val="0"/>
    <w:semiHidden/>
    <w:qFormat/>
    <w:rPr>
      <w:rFonts w:ascii="Times New Roman" w:hAnsi="Times New Roman" w:eastAsia="宋体" w:cs="Times New Roman"/>
      <w:b/>
      <w:bCs/>
      <w:szCs w:val="21"/>
    </w:rPr>
  </w:style>
  <w:style w:type="paragraph" w:styleId="926" w:customStyle="1">
    <w:name w:val="索引 11"/>
    <w:basedOn w:val="694"/>
    <w:next w:val="694"/>
    <w:uiPriority w:val="0"/>
    <w:semiHidden/>
    <w:pPr>
      <w:spacing w:line="240" w:lineRule="atLeast"/>
    </w:pPr>
    <w:rPr>
      <w:rFonts w:ascii="Times New Roman" w:hAnsi="Times New Roman" w:eastAsia="宋体" w:cs="Times New Roman"/>
      <w:b/>
      <w:bCs/>
      <w:szCs w:val="21"/>
    </w:rPr>
  </w:style>
  <w:style w:type="paragraph" w:styleId="927" w:customStyle="1">
    <w:name w:val="普通正文"/>
    <w:basedOn w:val="694"/>
    <w:uiPriority w:val="0"/>
    <w:pPr>
      <w:ind w:firstLine="480"/>
      <w:jc w:val="left"/>
      <w:spacing w:before="120" w:after="120" w:line="360" w:lineRule="auto"/>
    </w:pPr>
    <w:rPr>
      <w:rFonts w:ascii="Arial" w:hAnsi="Arial" w:eastAsia="宋体" w:cs="Times New Roman"/>
      <w:sz w:val="24"/>
      <w:szCs w:val="24"/>
    </w:rPr>
  </w:style>
  <w:style w:type="paragraph" w:styleId="928" w:customStyle="1">
    <w:name w:val="table_lines"/>
    <w:basedOn w:val="694"/>
    <w:uiPriority w:val="0"/>
    <w:pPr>
      <w:jc w:val="left"/>
      <w:widowControl/>
    </w:pPr>
    <w:rPr>
      <w:rFonts w:ascii="Times New Roman" w:hAnsi="Times New Roman" w:eastAsia="宋体" w:cs="Times New Roman"/>
      <w:sz w:val="20"/>
      <w:szCs w:val="20"/>
      <w:lang w:val="de-DE" w:eastAsia="de-DE"/>
    </w:rPr>
  </w:style>
  <w:style w:type="paragraph" w:styleId="929"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0" w:customStyle="1">
    <w:name w:val="目录 31"/>
    <w:basedOn w:val="694"/>
    <w:next w:val="694"/>
    <w:uiPriority w:val="0"/>
    <w:semiHidden/>
    <w:pPr>
      <w:ind w:left="420"/>
      <w:jc w:val="left"/>
    </w:pPr>
    <w:rPr>
      <w:rFonts w:ascii="Times New Roman" w:hAnsi="Times New Roman" w:eastAsia="宋体" w:cs="Times New Roman"/>
      <w:i/>
      <w:iCs/>
      <w:szCs w:val="24"/>
    </w:rPr>
  </w:style>
  <w:style w:type="paragraph" w:styleId="931" w:customStyle="1">
    <w:name w:val="正文文本缩进1"/>
    <w:basedOn w:val="694"/>
    <w:link w:val="932"/>
    <w:uiPriority w:val="0"/>
    <w:unhideWhenUsed/>
    <w:pPr>
      <w:ind w:left="420"/>
      <w:spacing w:after="120"/>
    </w:pPr>
  </w:style>
  <w:style w:type="character" w:styleId="932" w:customStyle="1">
    <w:name w:val="正文文本缩进 Char"/>
    <w:basedOn w:val="888"/>
    <w:link w:val="931"/>
    <w:uiPriority w:val="99"/>
    <w:semiHidden/>
    <w:qFormat/>
  </w:style>
  <w:style w:type="paragraph" w:styleId="933" w:customStyle="1">
    <w:name w:val="正文首行缩进 21"/>
    <w:basedOn w:val="931"/>
    <w:link w:val="934"/>
    <w:uiPriority w:val="0"/>
    <w:qFormat/>
    <w:pPr>
      <w:ind w:left="0" w:firstLine="420"/>
      <w:spacing w:after="0" w:line="360" w:lineRule="auto"/>
    </w:pPr>
    <w:rPr>
      <w:rFonts w:ascii="宋体" w:hAnsi="宋体" w:eastAsia="宋体" w:cs="Times New Roman"/>
      <w:szCs w:val="20"/>
    </w:rPr>
  </w:style>
  <w:style w:type="character" w:styleId="934" w:customStyle="1">
    <w:name w:val="正文首行缩进 2 Char"/>
    <w:link w:val="933"/>
    <w:uiPriority w:val="0"/>
    <w:rPr>
      <w:rFonts w:ascii="宋体" w:hAnsi="宋体" w:eastAsia="宋体" w:cs="Times New Roman"/>
      <w:szCs w:val="20"/>
    </w:rPr>
  </w:style>
  <w:style w:type="paragraph" w:styleId="935" w:customStyle="1">
    <w:name w:val="正文文本缩进 31"/>
    <w:basedOn w:val="694"/>
    <w:link w:val="936"/>
    <w:uiPriority w:val="0"/>
    <w:qFormat/>
    <w:pPr>
      <w:ind w:left="645" w:firstLine="645"/>
    </w:pPr>
    <w:rPr>
      <w:rFonts w:ascii="Arial" w:hAnsi="Arial" w:eastAsia="仿宋_GB2312" w:cs="Arial"/>
      <w:color w:val="ffff00"/>
      <w:sz w:val="32"/>
      <w:szCs w:val="32"/>
    </w:rPr>
  </w:style>
  <w:style w:type="character" w:styleId="936" w:customStyle="1">
    <w:name w:val="正文文本缩进 3 Char"/>
    <w:link w:val="935"/>
    <w:uiPriority w:val="0"/>
    <w:qFormat/>
    <w:rPr>
      <w:rFonts w:ascii="Arial" w:hAnsi="Arial" w:eastAsia="仿宋_GB2312" w:cs="Arial"/>
      <w:color w:val="ffff00"/>
      <w:sz w:val="32"/>
      <w:szCs w:val="32"/>
    </w:rPr>
  </w:style>
  <w:style w:type="paragraph" w:styleId="937" w:customStyle="1">
    <w:name w:val="目录 61"/>
    <w:basedOn w:val="694"/>
    <w:next w:val="694"/>
    <w:uiPriority w:val="0"/>
    <w:semiHidden/>
    <w:pPr>
      <w:ind w:left="1050"/>
      <w:jc w:val="left"/>
    </w:pPr>
    <w:rPr>
      <w:rFonts w:ascii="Times New Roman" w:hAnsi="Times New Roman" w:eastAsia="宋体" w:cs="Times New Roman"/>
      <w:szCs w:val="21"/>
    </w:rPr>
  </w:style>
  <w:style w:type="paragraph" w:styleId="938" w:customStyle="1">
    <w:name w:val="font7"/>
    <w:basedOn w:val="69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9" w:customStyle="1">
    <w:name w:val=" Char Char Char Char"/>
    <w:basedOn w:val="921"/>
    <w:uiPriority w:val="0"/>
    <w:qFormat/>
    <w:pPr>
      <w:spacing w:line="360" w:lineRule="auto"/>
    </w:pPr>
    <w:rPr>
      <w:rFonts w:ascii="Tahoma" w:hAnsi="Tahoma"/>
      <w:sz w:val="24"/>
      <w:szCs w:val="24"/>
    </w:rPr>
  </w:style>
  <w:style w:type="paragraph" w:styleId="940" w:customStyle="1">
    <w:name w:val="正文文本 31"/>
    <w:basedOn w:val="694"/>
    <w:link w:val="941"/>
    <w:uiPriority w:val="0"/>
    <w:rPr>
      <w:rFonts w:ascii="仿宋_GB2312" w:hAnsi="Arial" w:eastAsia="仿宋_GB2312" w:cs="Times New Roman"/>
      <w:sz w:val="32"/>
      <w:szCs w:val="32"/>
    </w:rPr>
  </w:style>
  <w:style w:type="character" w:styleId="941" w:customStyle="1">
    <w:name w:val="正文文本 3 Char"/>
    <w:link w:val="940"/>
    <w:uiPriority w:val="0"/>
    <w:qFormat/>
    <w:rPr>
      <w:rFonts w:ascii="仿宋_GB2312" w:hAnsi="Arial" w:eastAsia="仿宋_GB2312" w:cs="Times New Roman"/>
      <w:sz w:val="32"/>
      <w:szCs w:val="32"/>
    </w:rPr>
  </w:style>
  <w:style w:type="paragraph" w:styleId="942" w:customStyle="1">
    <w:name w:val="普通(网站)1"/>
    <w:basedOn w:val="694"/>
    <w:uiPriority w:val="99"/>
    <w:qFormat/>
    <w:pPr>
      <w:jc w:val="left"/>
      <w:spacing w:before="100" w:beforeAutospacing="1" w:after="100" w:afterAutospacing="1"/>
      <w:widowControl/>
    </w:pPr>
    <w:rPr>
      <w:rFonts w:ascii="宋体" w:hAnsi="宋体" w:eastAsia="宋体" w:cs="宋体"/>
      <w:sz w:val="24"/>
      <w:szCs w:val="24"/>
    </w:rPr>
  </w:style>
  <w:style w:type="paragraph" w:styleId="943" w:customStyle="1">
    <w:name w:val="目录 41"/>
    <w:basedOn w:val="694"/>
    <w:next w:val="694"/>
    <w:uiPriority w:val="0"/>
    <w:semiHidden/>
    <w:pPr>
      <w:ind w:left="630"/>
      <w:jc w:val="left"/>
    </w:pPr>
    <w:rPr>
      <w:rFonts w:ascii="Times New Roman" w:hAnsi="Times New Roman" w:eastAsia="宋体" w:cs="Times New Roman"/>
      <w:szCs w:val="21"/>
    </w:rPr>
  </w:style>
  <w:style w:type="paragraph" w:styleId="944" w:customStyle="1">
    <w:name w:val="列出段落"/>
    <w:basedOn w:val="694"/>
    <w:uiPriority w:val="0"/>
    <w:qFormat/>
    <w:pPr>
      <w:contextualSpacing/>
      <w:ind w:left="720"/>
      <w:jc w:val="left"/>
      <w:widowControl/>
    </w:pPr>
    <w:rPr>
      <w:rFonts w:ascii="Calibri" w:hAnsi="Calibri" w:eastAsia="宋体" w:cs="Times New Roman"/>
      <w:sz w:val="24"/>
      <w:szCs w:val="24"/>
      <w:lang w:eastAsia="en-US" w:bidi="en-US"/>
    </w:rPr>
  </w:style>
  <w:style w:type="character" w:styleId="945" w:customStyle="1">
    <w:name w:val="文档结构图 Char"/>
    <w:link w:val="921"/>
    <w:uiPriority w:val="0"/>
    <w:semiHidden/>
    <w:rPr>
      <w:rFonts w:ascii="Times New Roman" w:hAnsi="Times New Roman" w:eastAsia="宋体" w:cs="Times New Roman"/>
      <w:szCs w:val="21"/>
      <w:shd w:val="clear" w:color="auto" w:fill="000080"/>
    </w:rPr>
  </w:style>
  <w:style w:type="paragraph" w:styleId="946" w:customStyle="1">
    <w:name w:val="4"/>
    <w:basedOn w:val="694"/>
    <w:next w:val="935"/>
    <w:uiPriority w:val="0"/>
    <w:qFormat/>
    <w:pPr>
      <w:ind w:firstLine="420"/>
      <w:spacing w:line="360" w:lineRule="auto"/>
    </w:pPr>
    <w:rPr>
      <w:rFonts w:ascii="Times New Roman" w:hAnsi="Times New Roman" w:eastAsia="宋体" w:cs="Times New Roman"/>
      <w:color w:val="ff0000"/>
      <w:sz w:val="24"/>
      <w:szCs w:val="24"/>
    </w:rPr>
  </w:style>
  <w:style w:type="paragraph" w:styleId="947" w:customStyle="1">
    <w:name w:val="普通 (Web)"/>
    <w:basedOn w:val="694"/>
    <w:uiPriority w:val="0"/>
    <w:qFormat/>
    <w:pPr>
      <w:jc w:val="left"/>
      <w:spacing w:before="100" w:beforeAutospacing="1" w:after="100" w:afterAutospacing="1"/>
      <w:widowControl/>
    </w:pPr>
    <w:rPr>
      <w:rFonts w:ascii="宋体" w:hAnsi="宋体" w:eastAsia="宋体" w:cs="Times New Roman"/>
      <w:sz w:val="24"/>
      <w:szCs w:val="24"/>
    </w:rPr>
  </w:style>
  <w:style w:type="paragraph" w:styleId="948" w:customStyle="1">
    <w:name w:val=" Char Char Char Char Char Char Char Char Char Char"/>
    <w:basedOn w:val="694"/>
    <w:uiPriority w:val="0"/>
    <w:pPr>
      <w:spacing w:line="360" w:lineRule="auto"/>
    </w:pPr>
    <w:rPr>
      <w:rFonts w:ascii="Times New Roman" w:hAnsi="Times New Roman" w:eastAsia="宋体" w:cs="Times New Roman"/>
      <w:sz w:val="24"/>
      <w:szCs w:val="20"/>
    </w:rPr>
  </w:style>
  <w:style w:type="paragraph" w:styleId="949" w:customStyle="1">
    <w:name w:val="列表 21"/>
    <w:basedOn w:val="694"/>
    <w:uiPriority w:val="0"/>
    <w:qFormat/>
    <w:pPr>
      <w:ind w:left="100" w:hanging="200"/>
    </w:pPr>
    <w:rPr>
      <w:rFonts w:ascii="Times New Roman" w:hAnsi="Times New Roman" w:eastAsia="宋体" w:cs="Times New Roman"/>
      <w:szCs w:val="21"/>
    </w:rPr>
  </w:style>
  <w:style w:type="paragraph" w:styleId="950" w:customStyle="1">
    <w:name w:val="正文首行缩进1"/>
    <w:basedOn w:val="694"/>
    <w:link w:val="951"/>
    <w:uiPriority w:val="0"/>
    <w:qFormat/>
    <w:pPr>
      <w:ind w:firstLine="200"/>
      <w:spacing w:line="360" w:lineRule="auto"/>
    </w:pPr>
    <w:rPr>
      <w:rFonts w:ascii="仿宋_GB2312" w:hAnsi="Times New Roman" w:eastAsia="仿宋_GB2312" w:cs="Times New Roman"/>
      <w:sz w:val="30"/>
      <w:szCs w:val="30"/>
    </w:rPr>
  </w:style>
  <w:style w:type="character" w:styleId="951" w:customStyle="1">
    <w:name w:val="正文首行缩进 Char"/>
    <w:link w:val="950"/>
    <w:uiPriority w:val="0"/>
    <w:rPr>
      <w:rFonts w:ascii="仿宋_GB2312" w:hAnsi="Times New Roman" w:eastAsia="仿宋_GB2312" w:cs="Times New Roman"/>
      <w:sz w:val="30"/>
      <w:szCs w:val="30"/>
    </w:rPr>
  </w:style>
  <w:style w:type="paragraph" w:styleId="952" w:customStyle="1">
    <w:name w:val="样式1"/>
    <w:basedOn w:val="694"/>
    <w:uiPriority w:val="0"/>
    <w:qFormat/>
    <w:pPr>
      <w:numPr>
        <w:ilvl w:val="0"/>
        <w:numId w:val="3"/>
      </w:numPr>
    </w:pPr>
    <w:rPr>
      <w:rFonts w:ascii="宋体" w:hAnsi="宋体" w:eastAsia="宋体" w:cs="Times New Roman"/>
      <w:szCs w:val="21"/>
    </w:rPr>
  </w:style>
  <w:style w:type="paragraph" w:styleId="953" w:customStyle="1">
    <w:name w:val="font6"/>
    <w:basedOn w:val="69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54" w:customStyle="1">
    <w:name w:val="目录 51"/>
    <w:basedOn w:val="694"/>
    <w:next w:val="694"/>
    <w:uiPriority w:val="0"/>
    <w:semiHidden/>
    <w:pPr>
      <w:ind w:left="840"/>
      <w:jc w:val="left"/>
    </w:pPr>
    <w:rPr>
      <w:rFonts w:ascii="Times New Roman" w:hAnsi="Times New Roman" w:eastAsia="宋体" w:cs="Times New Roman"/>
      <w:szCs w:val="21"/>
    </w:rPr>
  </w:style>
  <w:style w:type="paragraph" w:styleId="955" w:customStyle="1">
    <w:name w:val="目录 11"/>
    <w:basedOn w:val="694"/>
    <w:next w:val="69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6" w:customStyle="1">
    <w:name w:val="纯文本1"/>
    <w:basedOn w:val="694"/>
    <w:link w:val="957"/>
    <w:uiPriority w:val="0"/>
    <w:qFormat/>
    <w:rPr>
      <w:rFonts w:ascii="宋体" w:hAnsi="Courier New" w:eastAsia="宋体" w:cs="Courier New"/>
      <w:szCs w:val="21"/>
    </w:rPr>
  </w:style>
  <w:style w:type="character" w:styleId="957" w:customStyle="1">
    <w:name w:val="纯文本 Char"/>
    <w:link w:val="956"/>
    <w:uiPriority w:val="0"/>
    <w:rPr>
      <w:rFonts w:ascii="宋体" w:hAnsi="Courier New" w:eastAsia="宋体" w:cs="Courier New"/>
      <w:szCs w:val="21"/>
    </w:rPr>
  </w:style>
  <w:style w:type="paragraph" w:styleId="958" w:customStyle="1">
    <w:name w:val="批注框文本1"/>
    <w:basedOn w:val="694"/>
    <w:link w:val="959"/>
    <w:uiPriority w:val="0"/>
    <w:semiHidden/>
    <w:qFormat/>
    <w:rPr>
      <w:rFonts w:ascii="Times New Roman" w:hAnsi="Times New Roman" w:eastAsia="宋体" w:cs="Times New Roman"/>
      <w:sz w:val="18"/>
      <w:szCs w:val="18"/>
    </w:rPr>
  </w:style>
  <w:style w:type="character" w:styleId="959" w:customStyle="1">
    <w:name w:val="批注框文本 Char"/>
    <w:link w:val="958"/>
    <w:uiPriority w:val="0"/>
    <w:semiHidden/>
    <w:rPr>
      <w:rFonts w:ascii="Times New Roman" w:hAnsi="Times New Roman" w:eastAsia="宋体" w:cs="Times New Roman"/>
      <w:sz w:val="18"/>
      <w:szCs w:val="18"/>
    </w:rPr>
  </w:style>
  <w:style w:type="paragraph" w:styleId="960"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1" w:customStyle="1">
    <w:name w:val="列表1"/>
    <w:basedOn w:val="694"/>
    <w:uiPriority w:val="0"/>
    <w:qFormat/>
    <w:pPr>
      <w:ind w:left="200" w:hanging="200"/>
    </w:pPr>
    <w:rPr>
      <w:rFonts w:ascii="Times New Roman" w:hAnsi="Times New Roman" w:eastAsia="宋体" w:cs="Times New Roman"/>
      <w:szCs w:val="21"/>
    </w:rPr>
  </w:style>
  <w:style w:type="paragraph" w:styleId="962" w:customStyle="1">
    <w:name w:val="图标"/>
    <w:basedOn w:val="694"/>
    <w:next w:val="694"/>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3" w:customStyle="1">
    <w:name w:val="日期1"/>
    <w:basedOn w:val="694"/>
    <w:next w:val="694"/>
    <w:link w:val="964"/>
    <w:uiPriority w:val="0"/>
    <w:qFormat/>
    <w:rPr>
      <w:rFonts w:ascii="Times New Roman" w:hAnsi="Times New Roman" w:eastAsia="宋体" w:cs="Times New Roman"/>
      <w:sz w:val="24"/>
      <w:szCs w:val="24"/>
    </w:rPr>
  </w:style>
  <w:style w:type="character" w:styleId="964" w:customStyle="1">
    <w:name w:val="日期 Char"/>
    <w:link w:val="963"/>
    <w:uiPriority w:val="0"/>
    <w:qFormat/>
    <w:rPr>
      <w:rFonts w:ascii="Times New Roman" w:hAnsi="Times New Roman" w:eastAsia="宋体" w:cs="Times New Roman"/>
      <w:sz w:val="24"/>
      <w:szCs w:val="24"/>
    </w:rPr>
  </w:style>
  <w:style w:type="paragraph" w:styleId="965" w:customStyle="1">
    <w:name w:val="标题3"/>
    <w:basedOn w:val="694"/>
    <w:next w:val="694"/>
    <w:uiPriority w:val="0"/>
    <w:pPr>
      <w:ind w:firstLine="624"/>
      <w:spacing w:line="590" w:lineRule="atLeast"/>
    </w:pPr>
    <w:rPr>
      <w:rFonts w:ascii="方正黑体_GBK" w:hAnsi="Times New Roman" w:eastAsia="方正黑体_GBK" w:cs="Times New Roman"/>
      <w:sz w:val="32"/>
      <w:szCs w:val="32"/>
    </w:rPr>
  </w:style>
  <w:style w:type="paragraph" w:styleId="966" w:customStyle="1">
    <w:name w:val="xl24"/>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customStyle="1">
    <w:name w:val="xl29"/>
    <w:basedOn w:val="69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8" w:customStyle="1">
    <w:name w:val="Char Char Char Char Char Char Char Char"/>
    <w:basedOn w:val="694"/>
    <w:uiPriority w:val="0"/>
    <w:pPr>
      <w:jc w:val="left"/>
      <w:spacing w:after="160" w:line="240" w:lineRule="exact"/>
      <w:widowControl/>
    </w:pPr>
    <w:rPr>
      <w:rFonts w:ascii="Verdana" w:hAnsi="Verdana" w:eastAsia="宋体" w:cs="Times New Roman"/>
      <w:sz w:val="20"/>
      <w:szCs w:val="20"/>
      <w:lang w:eastAsia="en-US"/>
    </w:rPr>
  </w:style>
  <w:style w:type="paragraph" w:styleId="969" w:customStyle="1">
    <w:name w:val="正文文本 21"/>
    <w:basedOn w:val="694"/>
    <w:link w:val="970"/>
    <w:uiPriority w:val="0"/>
    <w:qFormat/>
    <w:pPr>
      <w:jc w:val="center"/>
      <w:widowControl/>
    </w:pPr>
    <w:rPr>
      <w:rFonts w:ascii="楷体_GB2312" w:hAnsi="Times New Roman" w:eastAsia="楷体_GB2312" w:cs="Times New Roman"/>
      <w:sz w:val="28"/>
      <w:szCs w:val="28"/>
    </w:rPr>
  </w:style>
  <w:style w:type="character" w:styleId="970" w:customStyle="1">
    <w:name w:val="正文文本 2 Char"/>
    <w:link w:val="969"/>
    <w:uiPriority w:val="0"/>
    <w:qFormat/>
    <w:rPr>
      <w:rFonts w:ascii="楷体_GB2312" w:hAnsi="Times New Roman" w:eastAsia="楷体_GB2312" w:cs="Times New Roman"/>
      <w:sz w:val="28"/>
      <w:szCs w:val="28"/>
    </w:rPr>
  </w:style>
  <w:style w:type="paragraph" w:styleId="971" w:customStyle="1">
    <w:name w:val="列表 31"/>
    <w:basedOn w:val="694"/>
    <w:uiPriority w:val="0"/>
    <w:pPr>
      <w:ind w:left="100" w:hanging="200"/>
    </w:pPr>
    <w:rPr>
      <w:rFonts w:ascii="Times New Roman" w:hAnsi="Times New Roman" w:eastAsia="宋体" w:cs="Times New Roman"/>
      <w:szCs w:val="21"/>
    </w:rPr>
  </w:style>
  <w:style w:type="paragraph" w:styleId="972" w:customStyle="1">
    <w:name w:val="目录 71"/>
    <w:basedOn w:val="694"/>
    <w:next w:val="694"/>
    <w:uiPriority w:val="0"/>
    <w:semiHidden/>
    <w:qFormat/>
    <w:pPr>
      <w:ind w:left="1260"/>
      <w:jc w:val="left"/>
    </w:pPr>
    <w:rPr>
      <w:rFonts w:ascii="Times New Roman" w:hAnsi="Times New Roman" w:eastAsia="宋体" w:cs="Times New Roman"/>
      <w:szCs w:val="21"/>
    </w:rPr>
  </w:style>
  <w:style w:type="paragraph" w:styleId="973" w:customStyle="1">
    <w:name w:val="目录 21"/>
    <w:basedOn w:val="694"/>
    <w:next w:val="694"/>
    <w:uiPriority w:val="0"/>
    <w:semiHidden/>
    <w:pPr>
      <w:ind w:left="210"/>
      <w:jc w:val="left"/>
    </w:pPr>
    <w:rPr>
      <w:rFonts w:ascii="Times New Roman" w:hAnsi="Times New Roman" w:eastAsia="宋体" w:cs="Times New Roman"/>
      <w:smallCaps/>
      <w:szCs w:val="24"/>
    </w:rPr>
  </w:style>
  <w:style w:type="paragraph" w:styleId="974"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5" w:customStyle="1">
    <w:name w:val="页眉1"/>
    <w:basedOn w:val="694"/>
    <w:link w:val="97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6" w:customStyle="1">
    <w:name w:val="页眉 Char"/>
    <w:link w:val="975"/>
    <w:uiPriority w:val="0"/>
    <w:rPr>
      <w:rFonts w:ascii="Times New Roman" w:hAnsi="Times New Roman" w:eastAsia="宋体" w:cs="Times New Roman"/>
      <w:sz w:val="18"/>
      <w:szCs w:val="18"/>
    </w:rPr>
  </w:style>
  <w:style w:type="paragraph" w:styleId="977" w:customStyle="1">
    <w:name w:val="页脚1"/>
    <w:basedOn w:val="694"/>
    <w:link w:val="97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78" w:customStyle="1">
    <w:name w:val="页脚 Char"/>
    <w:link w:val="977"/>
    <w:uiPriority w:val="0"/>
    <w:qFormat/>
    <w:rPr>
      <w:rFonts w:ascii="Times New Roman" w:hAnsi="Times New Roman" w:eastAsia="宋体" w:cs="Times New Roman"/>
      <w:sz w:val="18"/>
      <w:szCs w:val="18"/>
    </w:rPr>
  </w:style>
  <w:style w:type="paragraph" w:styleId="979" w:customStyle="1">
    <w:name w:val=" Char Char Char Char Char Char Char Char"/>
    <w:basedOn w:val="694"/>
    <w:uiPriority w:val="0"/>
    <w:pPr>
      <w:jc w:val="left"/>
      <w:spacing w:after="160" w:line="240" w:lineRule="exact"/>
      <w:widowControl/>
    </w:pPr>
    <w:rPr>
      <w:rFonts w:ascii="Verdana" w:hAnsi="Verdana" w:eastAsia="宋体" w:cs="Times New Roman"/>
      <w:sz w:val="20"/>
      <w:szCs w:val="20"/>
      <w:lang w:eastAsia="en-US"/>
    </w:rPr>
  </w:style>
  <w:style w:type="paragraph" w:styleId="980" w:customStyle="1">
    <w:name w:val="目录 81"/>
    <w:basedOn w:val="694"/>
    <w:next w:val="694"/>
    <w:uiPriority w:val="0"/>
    <w:semiHidden/>
    <w:qFormat/>
    <w:pPr>
      <w:ind w:left="1470"/>
      <w:jc w:val="left"/>
    </w:pPr>
    <w:rPr>
      <w:rFonts w:ascii="Times New Roman" w:hAnsi="Times New Roman" w:eastAsia="宋体" w:cs="Times New Roman"/>
      <w:szCs w:val="21"/>
    </w:rPr>
  </w:style>
  <w:style w:type="paragraph" w:styleId="981" w:customStyle="1">
    <w:name w:val="xl30"/>
    <w:basedOn w:val="69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2" w:customStyle="1">
    <w:name w:val="Char Char Char Char"/>
    <w:basedOn w:val="921"/>
    <w:uiPriority w:val="0"/>
    <w:pPr>
      <w:spacing w:line="360" w:lineRule="auto"/>
    </w:pPr>
    <w:rPr>
      <w:rFonts w:ascii="Tahoma" w:hAnsi="Tahoma"/>
      <w:sz w:val="24"/>
      <w:szCs w:val="24"/>
    </w:rPr>
  </w:style>
  <w:style w:type="paragraph" w:styleId="983" w:customStyle="1">
    <w:name w:val="table_1stline"/>
    <w:basedOn w:val="694"/>
    <w:uiPriority w:val="0"/>
    <w:qFormat/>
    <w:pPr>
      <w:jc w:val="left"/>
      <w:spacing w:before="120"/>
      <w:widowControl/>
    </w:pPr>
    <w:rPr>
      <w:rFonts w:ascii="Times New Roman" w:hAnsi="Times New Roman" w:eastAsia="宋体" w:cs="Times New Roman"/>
      <w:bCs/>
      <w:sz w:val="20"/>
      <w:szCs w:val="20"/>
      <w:lang w:val="de-DE" w:eastAsia="de-DE"/>
    </w:rPr>
  </w:style>
  <w:style w:type="paragraph" w:styleId="984" w:customStyle="1">
    <w:name w:val="font5"/>
    <w:basedOn w:val="69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5" w:customStyle="1">
    <w:name w:val="标题1"/>
    <w:basedOn w:val="694"/>
    <w:next w:val="694"/>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customStyle="1">
    <w:name w:val="修订"/>
    <w:uiPriority w:val="99"/>
    <w:semiHidden/>
    <w:qFormat/>
    <w:rPr>
      <w:rFonts w:hint="default" w:ascii="Times New Roman" w:hAnsi="Times New Roman" w:eastAsia="宋体" w:cs="Times New Roman"/>
      <w:sz w:val="21"/>
      <w:szCs w:val="21"/>
      <w:lang w:val="en-US" w:eastAsia="zh-CN" w:bidi="ar-SA"/>
    </w:rPr>
  </w:style>
  <w:style w:type="table" w:styleId="987" w:customStyle="1">
    <w:name w:val="网格型1"/>
    <w:basedOn w:val="889"/>
    <w:uiPriority w:val="0"/>
    <w:qFormat/>
    <w:pPr>
      <w:jc w:val="both"/>
      <w:widowControl w:val="off"/>
    </w:pPr>
    <w:rPr>
      <w:rFonts w:ascii="Times New Roman" w:hAnsi="Times New Roman" w:eastAsia="宋体" w:cs="Times New Roman"/>
      <w:sz w:val="20"/>
      <w:szCs w:val="20"/>
    </w:rPr>
    <w:tblPr/>
  </w:style>
  <w:style w:type="paragraph" w:styleId="98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9" w:customStyle="1">
    <w:name w:val="段"/>
    <w:next w:val="694"/>
    <w:uiPriority w:val="99"/>
    <w:qFormat/>
    <w:pPr>
      <w:ind w:firstLine="200"/>
      <w:jc w:val="both"/>
    </w:pPr>
    <w:rPr>
      <w:rFonts w:hint="default" w:ascii="宋体" w:hAnsi="Times New Roman" w:eastAsia="宋体" w:cs="Times New Roman"/>
      <w:sz w:val="21"/>
      <w:szCs w:val="22"/>
      <w:lang w:val="en-US" w:eastAsia="zh-CN" w:bidi="ar-SA"/>
    </w:rPr>
  </w:style>
  <w:style w:type="character" w:styleId="990" w:customStyle="1">
    <w:name w:val="fc01294d3e-4153-482a-aea1-4b54892b7913-0"/>
    <w:uiPriority w:val="0"/>
    <w:qFormat/>
  </w:style>
  <w:style w:type="character" w:styleId="991" w:customStyle="1">
    <w:name w:val="font21"/>
    <w:uiPriority w:val="0"/>
    <w:qFormat/>
    <w:rPr>
      <w:rFonts w:hint="eastAsia" w:ascii="仿宋_GB2312" w:eastAsia="仿宋_GB2312" w:cs="仿宋_GB2312"/>
      <w:color w:val="000000"/>
      <w:sz w:val="24"/>
      <w:szCs w:val="24"/>
      <w:u w:val="none"/>
    </w:rPr>
  </w:style>
  <w:style w:type="character" w:styleId="992" w:customStyle="1">
    <w:name w:val="font41"/>
    <w:uiPriority w:val="0"/>
    <w:qFormat/>
    <w:rPr>
      <w:rFonts w:ascii="方正隶书_GBK" w:hAnsi="方正隶书_GBK" w:eastAsia="方正隶书_GBK" w:cs="方正隶书_GBK"/>
      <w:color w:val="000000"/>
      <w:sz w:val="24"/>
      <w:szCs w:val="24"/>
      <w:u w:val="none"/>
    </w:rPr>
  </w:style>
  <w:style w:type="paragraph" w:styleId="993" w:customStyle="1">
    <w:name w:val="UserStyle_19"/>
    <w:uiPriority w:val="0"/>
    <w:qFormat/>
    <w:pPr>
      <w:jc w:val="both"/>
    </w:pPr>
    <w:rPr>
      <w:rFonts w:hint="default" w:ascii="Times New Roman" w:hAnsi="Times New Roman" w:eastAsia="宋体" w:cs="Times New Roman"/>
      <w:sz w:val="21"/>
      <w:szCs w:val="24"/>
      <w:lang w:val="en-US" w:eastAsia="zh-CN" w:bidi="ar-SA"/>
    </w:rPr>
  </w:style>
  <w:style w:type="character" w:styleId="994" w:customStyle="1">
    <w:name w:val="NormalCharacter"/>
    <w:uiPriority w:val="0"/>
    <w:qFormat/>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张笑</cp:lastModifiedBy>
  <cp:revision>23</cp:revision>
  <dcterms:created xsi:type="dcterms:W3CDTF">2023-03-27T07:28:00Z</dcterms:created>
  <dcterms:modified xsi:type="dcterms:W3CDTF">2025-12-08T07:52:07Z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eyJoZGlkIjoiNjI3OTU3N2I1NDAzZjg2MThkZTU1MWI5ZmE4OTdhYTMiLCJ1c2VySWQiOiIyMzcxOTc2MTYifQ==</vt:lpwstr>
  </property>
  <property fmtid="{D5CDD505-2E9C-101B-9397-08002B2CF9AE}" pid="3" name="KSOProductBuildVer">
    <vt:lpwstr>2052-12.1.0.23542</vt:lpwstr>
  </property>
  <property fmtid="{D5CDD505-2E9C-101B-9397-08002B2CF9AE}" pid="4" name="ICV">
    <vt:lpwstr>9BA03581114F48EC8846A9CBD565AF35_12</vt:lpwstr>
  </property>
</Properties>
</file>